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86E3" w14:textId="77777777" w:rsidR="00102645" w:rsidRPr="008E2D67" w:rsidRDefault="00102645" w:rsidP="00102645">
      <w:pPr>
        <w:jc w:val="center"/>
        <w:rPr>
          <w:rFonts w:ascii="Calibri Light" w:hAnsi="Calibri Light"/>
          <w:sz w:val="40"/>
          <w:szCs w:val="40"/>
          <w:lang w:val="es-DO"/>
        </w:rPr>
      </w:pPr>
      <w:r w:rsidRPr="008E2D67">
        <w:rPr>
          <w:noProof/>
        </w:rPr>
        <w:drawing>
          <wp:inline distT="0" distB="0" distL="0" distR="0" wp14:anchorId="5A1D3EBD" wp14:editId="7B8E15A4">
            <wp:extent cx="2117602" cy="175846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1F5FB"/>
                        </a:clrFrom>
                        <a:clrTo>
                          <a:srgbClr val="F1F5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83" cy="182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A7E12" w14:textId="77777777" w:rsidR="00102645" w:rsidRPr="008E2D67" w:rsidRDefault="00102645" w:rsidP="00102645">
      <w:pPr>
        <w:jc w:val="center"/>
        <w:rPr>
          <w:rFonts w:ascii="Calibri Light" w:hAnsi="Calibri Light"/>
          <w:sz w:val="40"/>
          <w:szCs w:val="40"/>
          <w:lang w:val="es-DO"/>
        </w:rPr>
      </w:pPr>
    </w:p>
    <w:p w14:paraId="5769C829" w14:textId="39942812" w:rsidR="000E6499" w:rsidRPr="008E2D67" w:rsidRDefault="000E6499" w:rsidP="000E6499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color w:val="000000"/>
          <w:sz w:val="44"/>
          <w:szCs w:val="44"/>
          <w:lang w:val="es-DO"/>
        </w:rPr>
      </w:pPr>
      <w:r w:rsidRPr="008E2D67">
        <w:rPr>
          <w:rFonts w:asciiTheme="majorHAnsi" w:eastAsiaTheme="minorHAnsi" w:hAnsiTheme="majorHAnsi" w:cstheme="majorHAnsi"/>
          <w:b/>
          <w:bCs/>
          <w:color w:val="000000"/>
          <w:sz w:val="44"/>
          <w:szCs w:val="44"/>
          <w:lang w:val="es-DO"/>
        </w:rPr>
        <w:t>MINISTERIO DE ENERGÍA Y MINAS</w:t>
      </w:r>
    </w:p>
    <w:p w14:paraId="4C55E76F" w14:textId="325D314C" w:rsidR="000E6499" w:rsidRPr="008E2D67" w:rsidRDefault="000E6499" w:rsidP="000E6499">
      <w:pPr>
        <w:jc w:val="center"/>
        <w:rPr>
          <w:rFonts w:asciiTheme="majorHAnsi" w:hAnsiTheme="majorHAnsi" w:cstheme="majorHAnsi"/>
          <w:b/>
          <w:sz w:val="36"/>
          <w:szCs w:val="36"/>
          <w:lang w:val="es-DO"/>
        </w:rPr>
      </w:pPr>
      <w:proofErr w:type="spellStart"/>
      <w:r w:rsidRPr="008E2D67">
        <w:rPr>
          <w:rFonts w:asciiTheme="majorHAnsi" w:hAnsiTheme="majorHAnsi" w:cstheme="majorHAnsi"/>
          <w:b/>
          <w:sz w:val="36"/>
          <w:szCs w:val="36"/>
          <w:lang w:val="es-DO"/>
        </w:rPr>
        <w:t>MEM</w:t>
      </w:r>
      <w:proofErr w:type="spellEnd"/>
      <w:r w:rsidRPr="008E2D67">
        <w:rPr>
          <w:rFonts w:asciiTheme="majorHAnsi" w:hAnsiTheme="majorHAnsi" w:cstheme="majorHAnsi"/>
          <w:b/>
          <w:sz w:val="36"/>
          <w:szCs w:val="36"/>
          <w:lang w:val="es-DO"/>
        </w:rPr>
        <w:t>-</w:t>
      </w:r>
      <w:proofErr w:type="spellStart"/>
      <w:r w:rsidRPr="008E2D67">
        <w:rPr>
          <w:rFonts w:asciiTheme="majorHAnsi" w:hAnsiTheme="majorHAnsi" w:cstheme="majorHAnsi"/>
          <w:b/>
          <w:sz w:val="36"/>
          <w:szCs w:val="36"/>
          <w:lang w:val="es-DO"/>
        </w:rPr>
        <w:t>DAEF</w:t>
      </w:r>
      <w:r w:rsidR="007966FE">
        <w:rPr>
          <w:rFonts w:asciiTheme="majorHAnsi" w:hAnsiTheme="majorHAnsi" w:cstheme="majorHAnsi"/>
          <w:b/>
          <w:sz w:val="36"/>
          <w:szCs w:val="36"/>
          <w:lang w:val="es-DO"/>
        </w:rPr>
        <w:t>S</w:t>
      </w:r>
      <w:proofErr w:type="spellEnd"/>
      <w:r w:rsidRPr="008E2D67">
        <w:rPr>
          <w:rFonts w:asciiTheme="majorHAnsi" w:hAnsiTheme="majorHAnsi" w:cstheme="majorHAnsi"/>
          <w:b/>
          <w:sz w:val="36"/>
          <w:szCs w:val="36"/>
          <w:lang w:val="es-DO"/>
        </w:rPr>
        <w:t>-I-</w:t>
      </w:r>
      <w:proofErr w:type="spellStart"/>
      <w:r w:rsidR="00647FBD" w:rsidRPr="008E2D67">
        <w:rPr>
          <w:rFonts w:asciiTheme="majorHAnsi" w:hAnsiTheme="majorHAnsi" w:cstheme="majorHAnsi"/>
          <w:b/>
          <w:sz w:val="36"/>
          <w:szCs w:val="36"/>
          <w:lang w:val="es-DO"/>
        </w:rPr>
        <w:t>EITI</w:t>
      </w:r>
      <w:proofErr w:type="spellEnd"/>
      <w:r w:rsidR="00647FBD" w:rsidRPr="008E2D67">
        <w:rPr>
          <w:rFonts w:asciiTheme="majorHAnsi" w:hAnsiTheme="majorHAnsi" w:cstheme="majorHAnsi"/>
          <w:b/>
          <w:sz w:val="36"/>
          <w:szCs w:val="36"/>
          <w:lang w:val="es-DO"/>
        </w:rPr>
        <w:t xml:space="preserve"> RD</w:t>
      </w:r>
      <w:r w:rsidRPr="008E2D67">
        <w:rPr>
          <w:rFonts w:asciiTheme="majorHAnsi" w:hAnsiTheme="majorHAnsi" w:cstheme="majorHAnsi"/>
          <w:b/>
          <w:sz w:val="36"/>
          <w:szCs w:val="36"/>
          <w:lang w:val="es-DO"/>
        </w:rPr>
        <w:t>-</w:t>
      </w:r>
      <w:r w:rsidR="00647FBD" w:rsidRPr="008E2D67">
        <w:rPr>
          <w:rFonts w:asciiTheme="majorHAnsi" w:hAnsiTheme="majorHAnsi" w:cstheme="majorHAnsi"/>
          <w:b/>
          <w:sz w:val="36"/>
          <w:szCs w:val="36"/>
          <w:lang w:val="es-DO"/>
        </w:rPr>
        <w:t xml:space="preserve">INFORME </w:t>
      </w:r>
      <w:proofErr w:type="spellStart"/>
      <w:r w:rsidR="00647FBD" w:rsidRPr="008E2D67">
        <w:rPr>
          <w:rFonts w:asciiTheme="majorHAnsi" w:hAnsiTheme="majorHAnsi" w:cstheme="majorHAnsi"/>
          <w:b/>
          <w:sz w:val="36"/>
          <w:szCs w:val="36"/>
          <w:lang w:val="es-DO"/>
        </w:rPr>
        <w:t>FOMISAR</w:t>
      </w:r>
      <w:proofErr w:type="spellEnd"/>
    </w:p>
    <w:p w14:paraId="528A6548" w14:textId="225C5D8A" w:rsidR="000E6499" w:rsidRPr="008E2D67" w:rsidRDefault="000E6499" w:rsidP="000E6499">
      <w:pPr>
        <w:jc w:val="center"/>
        <w:rPr>
          <w:rFonts w:asciiTheme="majorHAnsi" w:hAnsiTheme="majorHAnsi" w:cstheme="majorHAnsi"/>
          <w:b/>
          <w:sz w:val="32"/>
          <w:szCs w:val="32"/>
          <w:lang w:val="es-DO"/>
        </w:rPr>
      </w:pPr>
    </w:p>
    <w:p w14:paraId="4C7D3D91" w14:textId="77777777" w:rsidR="000E6499" w:rsidRPr="008E2D67" w:rsidRDefault="000E6499" w:rsidP="000E6499">
      <w:pPr>
        <w:jc w:val="center"/>
        <w:rPr>
          <w:rFonts w:asciiTheme="majorHAnsi" w:hAnsiTheme="majorHAnsi" w:cstheme="majorHAnsi"/>
          <w:b/>
          <w:sz w:val="32"/>
          <w:szCs w:val="32"/>
          <w:lang w:val="es-DO"/>
        </w:rPr>
      </w:pPr>
    </w:p>
    <w:p w14:paraId="39A69BDC" w14:textId="609BDA00" w:rsidR="000E6499" w:rsidRPr="008E2D67" w:rsidRDefault="000E6499" w:rsidP="000E6499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</w:pPr>
      <w:r w:rsidRPr="008E2D67"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  <w:t>DIRECCIÓN DE ANÁLISIS ECONÓMICO Y FINANCIERO</w:t>
      </w:r>
      <w:r w:rsidR="008A61F1"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  <w:t xml:space="preserve"> SECTORIAL</w:t>
      </w:r>
      <w:r w:rsidRPr="008E2D67"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  <w:t xml:space="preserve"> (</w:t>
      </w:r>
      <w:proofErr w:type="spellStart"/>
      <w:r w:rsidRPr="008E2D67"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  <w:t>DAEF</w:t>
      </w:r>
      <w:r w:rsidR="008A61F1"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  <w:t>S</w:t>
      </w:r>
      <w:proofErr w:type="spellEnd"/>
      <w:r w:rsidRPr="008E2D67"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  <w:t>)</w:t>
      </w:r>
    </w:p>
    <w:p w14:paraId="1E8AD3B3" w14:textId="10481239" w:rsidR="000E6499" w:rsidRPr="008E2D67" w:rsidRDefault="000E6499" w:rsidP="000E6499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color w:val="000000"/>
          <w:sz w:val="40"/>
          <w:szCs w:val="40"/>
          <w:lang w:val="es-DO"/>
        </w:rPr>
      </w:pPr>
    </w:p>
    <w:p w14:paraId="37EFDE70" w14:textId="77777777" w:rsidR="0011161D" w:rsidRPr="008E2D67" w:rsidRDefault="0011161D" w:rsidP="000E6499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color w:val="000000"/>
          <w:sz w:val="40"/>
          <w:szCs w:val="40"/>
          <w:lang w:val="es-DO"/>
        </w:rPr>
      </w:pPr>
    </w:p>
    <w:p w14:paraId="47B621CF" w14:textId="5A86B21E" w:rsidR="000E6499" w:rsidRPr="008E2D67" w:rsidRDefault="000E6499" w:rsidP="000E6499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u w:val="single"/>
          <w:lang w:val="es-DO"/>
        </w:rPr>
      </w:pPr>
      <w:r w:rsidRPr="008E2D67"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u w:val="single"/>
          <w:lang w:val="es-DO"/>
        </w:rPr>
        <w:t>INFORME</w:t>
      </w:r>
    </w:p>
    <w:p w14:paraId="7C6BFE77" w14:textId="77777777" w:rsidR="000E6499" w:rsidRPr="008E2D67" w:rsidRDefault="000E6499" w:rsidP="000E6499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color w:val="000000"/>
          <w:sz w:val="36"/>
          <w:szCs w:val="36"/>
          <w:lang w:val="es-DO"/>
        </w:rPr>
      </w:pPr>
    </w:p>
    <w:p w14:paraId="559BD142" w14:textId="77777777" w:rsidR="00647FBD" w:rsidRPr="008E2D67" w:rsidRDefault="00647FBD" w:rsidP="000E6499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color w:val="000000"/>
          <w:sz w:val="36"/>
          <w:szCs w:val="36"/>
          <w:lang w:val="es-DO"/>
        </w:rPr>
      </w:pPr>
      <w:r w:rsidRPr="008E2D67">
        <w:rPr>
          <w:rFonts w:asciiTheme="majorHAnsi" w:eastAsiaTheme="minorHAnsi" w:hAnsiTheme="majorHAnsi" w:cstheme="majorHAnsi"/>
          <w:color w:val="000000"/>
          <w:sz w:val="36"/>
          <w:szCs w:val="36"/>
          <w:lang w:val="es-DO"/>
        </w:rPr>
        <w:t xml:space="preserve">TRANSFERENCIAS DEL GOBIERNO CENTRAL AL CONSEJO PROVINCIAL DE </w:t>
      </w:r>
      <w:proofErr w:type="spellStart"/>
      <w:r w:rsidRPr="008E2D67">
        <w:rPr>
          <w:rFonts w:asciiTheme="majorHAnsi" w:eastAsiaTheme="minorHAnsi" w:hAnsiTheme="majorHAnsi" w:cstheme="majorHAnsi"/>
          <w:color w:val="000000"/>
          <w:sz w:val="36"/>
          <w:szCs w:val="36"/>
          <w:lang w:val="es-DO"/>
        </w:rPr>
        <w:t>FOMISAR</w:t>
      </w:r>
      <w:proofErr w:type="spellEnd"/>
      <w:r w:rsidRPr="008E2D67">
        <w:rPr>
          <w:rFonts w:asciiTheme="majorHAnsi" w:eastAsiaTheme="minorHAnsi" w:hAnsiTheme="majorHAnsi" w:cstheme="majorHAnsi"/>
          <w:color w:val="000000"/>
          <w:sz w:val="36"/>
          <w:szCs w:val="36"/>
          <w:lang w:val="es-DO"/>
        </w:rPr>
        <w:t xml:space="preserve"> Y SU DISTRIBUCIÓN TERRITORIAL </w:t>
      </w:r>
    </w:p>
    <w:p w14:paraId="3806FAA4" w14:textId="4EDDD8EE" w:rsidR="000E6499" w:rsidRPr="008E2D67" w:rsidRDefault="00BE51FC" w:rsidP="000E6499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color w:val="000000"/>
          <w:sz w:val="36"/>
          <w:szCs w:val="36"/>
          <w:lang w:val="es-DO"/>
        </w:rPr>
      </w:pPr>
      <w:r w:rsidRPr="008E2D67">
        <w:rPr>
          <w:rFonts w:asciiTheme="majorHAnsi" w:eastAsiaTheme="minorHAnsi" w:hAnsiTheme="majorHAnsi" w:cstheme="majorHAnsi"/>
          <w:color w:val="000000"/>
          <w:sz w:val="36"/>
          <w:szCs w:val="36"/>
          <w:lang w:val="es-DO"/>
        </w:rPr>
        <w:t xml:space="preserve">AÑOS </w:t>
      </w:r>
      <w:r w:rsidR="008A61F1">
        <w:rPr>
          <w:rFonts w:asciiTheme="majorHAnsi" w:eastAsiaTheme="minorHAnsi" w:hAnsiTheme="majorHAnsi" w:cstheme="majorHAnsi"/>
          <w:color w:val="000000"/>
          <w:sz w:val="36"/>
          <w:szCs w:val="36"/>
          <w:lang w:val="es-DO"/>
        </w:rPr>
        <w:t>2021</w:t>
      </w:r>
      <w:r w:rsidRPr="008E2D67">
        <w:rPr>
          <w:rFonts w:asciiTheme="majorHAnsi" w:eastAsiaTheme="minorHAnsi" w:hAnsiTheme="majorHAnsi" w:cstheme="majorHAnsi"/>
          <w:color w:val="000000"/>
          <w:sz w:val="36"/>
          <w:szCs w:val="36"/>
          <w:lang w:val="es-DO"/>
        </w:rPr>
        <w:t xml:space="preserve"> Y</w:t>
      </w:r>
      <w:r w:rsidR="000E6499" w:rsidRPr="008E2D67">
        <w:rPr>
          <w:rFonts w:asciiTheme="majorHAnsi" w:eastAsiaTheme="minorHAnsi" w:hAnsiTheme="majorHAnsi" w:cstheme="majorHAnsi"/>
          <w:color w:val="000000"/>
          <w:sz w:val="36"/>
          <w:szCs w:val="36"/>
          <w:lang w:val="es-DO"/>
        </w:rPr>
        <w:t xml:space="preserve"> 202</w:t>
      </w:r>
      <w:r w:rsidR="008A61F1">
        <w:rPr>
          <w:rFonts w:asciiTheme="majorHAnsi" w:eastAsiaTheme="minorHAnsi" w:hAnsiTheme="majorHAnsi" w:cstheme="majorHAnsi"/>
          <w:color w:val="000000"/>
          <w:sz w:val="36"/>
          <w:szCs w:val="36"/>
          <w:lang w:val="es-DO"/>
        </w:rPr>
        <w:t>2</w:t>
      </w:r>
    </w:p>
    <w:p w14:paraId="05BE7BF5" w14:textId="77A628C3" w:rsidR="00647FBD" w:rsidRPr="008E2D67" w:rsidRDefault="00647FBD" w:rsidP="000E6499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color w:val="000000"/>
          <w:sz w:val="36"/>
          <w:szCs w:val="36"/>
          <w:lang w:val="es-DO"/>
        </w:rPr>
      </w:pPr>
    </w:p>
    <w:p w14:paraId="3C76BAF9" w14:textId="77777777" w:rsidR="00647FBD" w:rsidRPr="008E2D67" w:rsidRDefault="00647FBD" w:rsidP="000E6499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color w:val="000000"/>
          <w:sz w:val="36"/>
          <w:szCs w:val="36"/>
          <w:lang w:val="es-DO"/>
        </w:rPr>
      </w:pPr>
    </w:p>
    <w:p w14:paraId="1C3B4FB3" w14:textId="5FD8CC17" w:rsidR="00647FBD" w:rsidRPr="008E2D67" w:rsidRDefault="00647FBD" w:rsidP="00647FBD">
      <w:pPr>
        <w:tabs>
          <w:tab w:val="left" w:pos="2932"/>
        </w:tabs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</w:pPr>
      <w:r w:rsidRPr="008E2D67"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  <w:t>EN EL MARCO DE LOS TRABAJOS IMPULSADOS POR LA</w:t>
      </w:r>
    </w:p>
    <w:p w14:paraId="2A6D3DB3" w14:textId="1B1A6FC4" w:rsidR="00647FBD" w:rsidRPr="008E2D67" w:rsidRDefault="00647FBD" w:rsidP="00647FBD">
      <w:pPr>
        <w:tabs>
          <w:tab w:val="left" w:pos="2932"/>
        </w:tabs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</w:pPr>
      <w:r w:rsidRPr="008E2D67"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  <w:t>INICIATIVA PARA LA TRANSPARENCIA DE LAS INDUSTRIAS EXTRACTIVAS</w:t>
      </w:r>
    </w:p>
    <w:p w14:paraId="72FDA893" w14:textId="603E6AC6" w:rsidR="000E6499" w:rsidRPr="008E2D67" w:rsidRDefault="00647FBD" w:rsidP="00647FBD">
      <w:pPr>
        <w:tabs>
          <w:tab w:val="left" w:pos="2932"/>
        </w:tabs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color w:val="000000"/>
          <w:sz w:val="32"/>
          <w:szCs w:val="32"/>
          <w:lang w:val="es-DO"/>
        </w:rPr>
      </w:pPr>
      <w:r w:rsidRPr="008E2D67"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  <w:t>(</w:t>
      </w:r>
      <w:proofErr w:type="spellStart"/>
      <w:r w:rsidRPr="008E2D67"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  <w:t>EITI</w:t>
      </w:r>
      <w:proofErr w:type="spellEnd"/>
      <w:r w:rsidRPr="008E2D67">
        <w:rPr>
          <w:rFonts w:asciiTheme="majorHAnsi" w:eastAsiaTheme="minorHAnsi" w:hAnsiTheme="majorHAnsi" w:cstheme="majorHAnsi"/>
          <w:b/>
          <w:bCs/>
          <w:color w:val="000000"/>
          <w:sz w:val="36"/>
          <w:szCs w:val="36"/>
          <w:lang w:val="es-DO"/>
        </w:rPr>
        <w:t>-RD)</w:t>
      </w:r>
    </w:p>
    <w:p w14:paraId="0C330BDC" w14:textId="4886E8BD" w:rsidR="000E6499" w:rsidRPr="008E2D67" w:rsidRDefault="000E6499" w:rsidP="000E6499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color w:val="000000"/>
          <w:sz w:val="32"/>
          <w:szCs w:val="32"/>
          <w:lang w:val="es-DO"/>
        </w:rPr>
      </w:pPr>
    </w:p>
    <w:p w14:paraId="7A9B82BB" w14:textId="77777777" w:rsidR="0011161D" w:rsidRPr="008E2D67" w:rsidRDefault="0011161D" w:rsidP="000E6499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color w:val="000000"/>
          <w:sz w:val="32"/>
          <w:szCs w:val="32"/>
          <w:lang w:val="es-DO"/>
        </w:rPr>
      </w:pPr>
    </w:p>
    <w:p w14:paraId="7C9D07B2" w14:textId="77777777" w:rsidR="000E6499" w:rsidRPr="008E2D67" w:rsidRDefault="000E6499" w:rsidP="000E6499">
      <w:pPr>
        <w:jc w:val="center"/>
        <w:rPr>
          <w:rFonts w:asciiTheme="majorHAnsi" w:eastAsiaTheme="minorHAnsi" w:hAnsiTheme="majorHAnsi" w:cstheme="majorHAnsi"/>
          <w:i/>
          <w:iCs/>
          <w:color w:val="000000"/>
          <w:sz w:val="28"/>
          <w:szCs w:val="28"/>
          <w:lang w:val="es-DO"/>
        </w:rPr>
      </w:pPr>
      <w:r w:rsidRPr="008E2D67">
        <w:rPr>
          <w:rFonts w:asciiTheme="majorHAnsi" w:eastAsiaTheme="minorHAnsi" w:hAnsiTheme="majorHAnsi" w:cstheme="majorHAnsi"/>
          <w:i/>
          <w:iCs/>
          <w:color w:val="000000"/>
          <w:sz w:val="28"/>
          <w:szCs w:val="28"/>
          <w:lang w:val="es-DO"/>
        </w:rPr>
        <w:t>Santo Domingo, Distrito Nacional</w:t>
      </w:r>
    </w:p>
    <w:p w14:paraId="2E049C39" w14:textId="126FAF15" w:rsidR="00285A77" w:rsidRPr="008E2D67" w:rsidRDefault="00A91794" w:rsidP="000E6499">
      <w:pPr>
        <w:jc w:val="center"/>
        <w:rPr>
          <w:rFonts w:ascii="Helvetica" w:hAnsi="Helvetica" w:cs="Arial"/>
          <w:b/>
          <w:sz w:val="28"/>
          <w:u w:val="single"/>
          <w:lang w:val="es-DO"/>
        </w:rPr>
      </w:pPr>
      <w:r>
        <w:rPr>
          <w:rFonts w:asciiTheme="majorHAnsi" w:eastAsiaTheme="minorHAnsi" w:hAnsiTheme="majorHAnsi" w:cstheme="majorHAnsi"/>
          <w:i/>
          <w:iCs/>
          <w:color w:val="000000"/>
          <w:sz w:val="28"/>
          <w:szCs w:val="28"/>
          <w:lang w:val="es-DO"/>
        </w:rPr>
        <w:t>05</w:t>
      </w:r>
      <w:r w:rsidR="000E6499" w:rsidRPr="008E2D67">
        <w:rPr>
          <w:rFonts w:asciiTheme="majorHAnsi" w:eastAsiaTheme="minorHAnsi" w:hAnsiTheme="majorHAnsi" w:cstheme="majorHAnsi"/>
          <w:i/>
          <w:iCs/>
          <w:color w:val="000000"/>
          <w:sz w:val="28"/>
          <w:szCs w:val="28"/>
          <w:lang w:val="es-DO"/>
        </w:rPr>
        <w:t xml:space="preserve"> de </w:t>
      </w:r>
      <w:r>
        <w:rPr>
          <w:rFonts w:asciiTheme="majorHAnsi" w:eastAsiaTheme="minorHAnsi" w:hAnsiTheme="majorHAnsi" w:cstheme="majorHAnsi"/>
          <w:i/>
          <w:iCs/>
          <w:color w:val="000000"/>
          <w:sz w:val="28"/>
          <w:szCs w:val="28"/>
          <w:lang w:val="es-DO"/>
        </w:rPr>
        <w:t>junio</w:t>
      </w:r>
      <w:r w:rsidR="002C508A">
        <w:rPr>
          <w:rFonts w:asciiTheme="majorHAnsi" w:eastAsiaTheme="minorHAnsi" w:hAnsiTheme="majorHAnsi" w:cstheme="majorHAnsi"/>
          <w:i/>
          <w:iCs/>
          <w:color w:val="000000"/>
          <w:sz w:val="28"/>
          <w:szCs w:val="28"/>
          <w:lang w:val="es-DO"/>
        </w:rPr>
        <w:t xml:space="preserve"> </w:t>
      </w:r>
      <w:r w:rsidR="000E6499" w:rsidRPr="008E2D67">
        <w:rPr>
          <w:rFonts w:asciiTheme="majorHAnsi" w:eastAsiaTheme="minorHAnsi" w:hAnsiTheme="majorHAnsi" w:cstheme="majorHAnsi"/>
          <w:i/>
          <w:iCs/>
          <w:color w:val="000000"/>
          <w:sz w:val="28"/>
          <w:szCs w:val="28"/>
          <w:lang w:val="es-DO"/>
        </w:rPr>
        <w:t>202</w:t>
      </w:r>
      <w:r w:rsidR="0087567C">
        <w:rPr>
          <w:rFonts w:asciiTheme="majorHAnsi" w:eastAsiaTheme="minorHAnsi" w:hAnsiTheme="majorHAnsi" w:cstheme="majorHAnsi"/>
          <w:i/>
          <w:iCs/>
          <w:color w:val="000000"/>
          <w:sz w:val="28"/>
          <w:szCs w:val="28"/>
          <w:lang w:val="es-DO"/>
        </w:rPr>
        <w:t>3</w:t>
      </w:r>
    </w:p>
    <w:bookmarkStart w:id="0" w:name="_Toc55570636" w:displacedByCustomXml="next"/>
    <w:sdt>
      <w:sdtPr>
        <w:rPr>
          <w:rFonts w:asciiTheme="minorHAnsi" w:eastAsia="MS Mincho" w:hAnsiTheme="minorHAnsi" w:cstheme="minorHAnsi"/>
          <w:noProof/>
          <w:color w:val="auto"/>
          <w:sz w:val="22"/>
          <w:szCs w:val="22"/>
          <w:lang w:val="es-ES" w:eastAsia="en-US"/>
        </w:rPr>
        <w:id w:val="-47457395"/>
        <w:docPartObj>
          <w:docPartGallery w:val="Table of Contents"/>
          <w:docPartUnique/>
        </w:docPartObj>
      </w:sdtPr>
      <w:sdtEndPr>
        <w:rPr>
          <w:b/>
          <w:bCs/>
          <w:noProof w:val="0"/>
        </w:rPr>
      </w:sdtEndPr>
      <w:sdtContent>
        <w:p w14:paraId="3EEA4595" w14:textId="38BC03BC" w:rsidR="009B7426" w:rsidRDefault="009B7426">
          <w:pPr>
            <w:pStyle w:val="TtuloTDC"/>
            <w:rPr>
              <w:rFonts w:ascii="Arial Narrow" w:eastAsia="Times New Roman" w:hAnsi="Arial Narrow" w:cs="Times New Roman"/>
              <w:b/>
              <w:color w:val="203764"/>
              <w:lang w:eastAsia="en-US"/>
            </w:rPr>
          </w:pPr>
          <w:r w:rsidRPr="00AE3B05">
            <w:rPr>
              <w:rFonts w:ascii="Arial Narrow" w:eastAsia="Times New Roman" w:hAnsi="Arial Narrow" w:cs="Times New Roman"/>
              <w:b/>
              <w:color w:val="203764"/>
              <w:lang w:eastAsia="en-US"/>
            </w:rPr>
            <w:t>Tabla de contenido</w:t>
          </w:r>
        </w:p>
        <w:p w14:paraId="1FE82874" w14:textId="77777777" w:rsidR="00AE3B05" w:rsidRPr="00AE3B05" w:rsidRDefault="00AE3B05" w:rsidP="00AE3B05">
          <w:pPr>
            <w:rPr>
              <w:lang w:val="es-DO"/>
            </w:rPr>
          </w:pPr>
        </w:p>
        <w:p w14:paraId="0C44C6C7" w14:textId="5FC6BE40" w:rsidR="00391A7D" w:rsidRDefault="009B7426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  <w:lang w:val="es-DO" w:eastAsia="es-DO"/>
            </w:rPr>
          </w:pPr>
          <w:r w:rsidRPr="008E2D67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E2D67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8E2D67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89157424" w:history="1"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1.</w:t>
            </w:r>
            <w:r w:rsidR="00391A7D">
              <w:rPr>
                <w:rFonts w:asciiTheme="minorHAnsi" w:eastAsiaTheme="minorEastAsia" w:hAnsiTheme="minorHAnsi" w:cstheme="minorBidi"/>
                <w:sz w:val="22"/>
                <w:szCs w:val="22"/>
                <w:lang w:val="es-DO" w:eastAsia="es-DO"/>
              </w:rPr>
              <w:tab/>
            </w:r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Transferencia de Fondos por parte del Gobierno Central al Consejo Provincial para la Administración de los Fondos Mineros Provincia Sánchez Ramírez (FOMISAR) en </w:t>
            </w:r>
            <w:r w:rsidR="00C75517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2021</w:t>
            </w:r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 y </w:t>
            </w:r>
            <w:r w:rsidR="00C75517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2022….</w:t>
            </w:r>
            <w:r w:rsidR="00391A7D">
              <w:rPr>
                <w:webHidden/>
              </w:rPr>
              <w:tab/>
            </w:r>
            <w:r w:rsidR="00391A7D">
              <w:rPr>
                <w:webHidden/>
              </w:rPr>
              <w:fldChar w:fldCharType="begin"/>
            </w:r>
            <w:r w:rsidR="00391A7D">
              <w:rPr>
                <w:webHidden/>
              </w:rPr>
              <w:instrText xml:space="preserve"> PAGEREF _Toc89157424 \h </w:instrText>
            </w:r>
            <w:r w:rsidR="00391A7D">
              <w:rPr>
                <w:webHidden/>
              </w:rPr>
            </w:r>
            <w:r w:rsidR="00391A7D">
              <w:rPr>
                <w:webHidden/>
              </w:rPr>
              <w:fldChar w:fldCharType="separate"/>
            </w:r>
            <w:r w:rsidR="00D5225F">
              <w:rPr>
                <w:noProof/>
                <w:webHidden/>
              </w:rPr>
              <w:t>3</w:t>
            </w:r>
            <w:r w:rsidR="00391A7D">
              <w:rPr>
                <w:webHidden/>
              </w:rPr>
              <w:fldChar w:fldCharType="end"/>
            </w:r>
          </w:hyperlink>
        </w:p>
        <w:p w14:paraId="458A6C47" w14:textId="68F2B6EB" w:rsidR="00391A7D" w:rsidRDefault="00000000">
          <w:pPr>
            <w:pStyle w:val="TDC2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sz w:val="22"/>
              <w:szCs w:val="22"/>
              <w:lang w:val="es-DO" w:eastAsia="es-DO"/>
            </w:rPr>
          </w:pPr>
          <w:hyperlink w:anchor="_Toc89157425" w:history="1"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1.1 Contexto</w:t>
            </w:r>
            <w:r w:rsidR="00391A7D">
              <w:rPr>
                <w:webHidden/>
              </w:rPr>
              <w:tab/>
            </w:r>
            <w:r w:rsidR="00391A7D">
              <w:rPr>
                <w:webHidden/>
              </w:rPr>
              <w:fldChar w:fldCharType="begin"/>
            </w:r>
            <w:r w:rsidR="00391A7D">
              <w:rPr>
                <w:webHidden/>
              </w:rPr>
              <w:instrText xml:space="preserve"> PAGEREF _Toc89157425 \h </w:instrText>
            </w:r>
            <w:r w:rsidR="00391A7D">
              <w:rPr>
                <w:webHidden/>
              </w:rPr>
            </w:r>
            <w:r w:rsidR="00391A7D">
              <w:rPr>
                <w:webHidden/>
              </w:rPr>
              <w:fldChar w:fldCharType="separate"/>
            </w:r>
            <w:r w:rsidR="00D5225F">
              <w:rPr>
                <w:noProof/>
                <w:webHidden/>
              </w:rPr>
              <w:t>3</w:t>
            </w:r>
            <w:r w:rsidR="00391A7D">
              <w:rPr>
                <w:webHidden/>
              </w:rPr>
              <w:fldChar w:fldCharType="end"/>
            </w:r>
          </w:hyperlink>
        </w:p>
        <w:p w14:paraId="6A68AB2B" w14:textId="03AEA65D" w:rsidR="00391A7D" w:rsidRDefault="00000000">
          <w:pPr>
            <w:pStyle w:val="TDC2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sz w:val="22"/>
              <w:szCs w:val="22"/>
              <w:lang w:val="es-DO" w:eastAsia="es-DO"/>
            </w:rPr>
          </w:pPr>
          <w:hyperlink w:anchor="_Toc89157426" w:history="1"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1.2 Comparativo entre las Transferencias del Gobierno Central y el 5% del ISR Pagado por PVDC en </w:t>
            </w:r>
            <w:r w:rsidR="007966FE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2021</w:t>
            </w:r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 y </w:t>
            </w:r>
            <w:r w:rsidR="007966FE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2022</w:t>
            </w:r>
            <w:r w:rsidR="00391A7D">
              <w:rPr>
                <w:webHidden/>
              </w:rPr>
              <w:tab/>
            </w:r>
            <w:r w:rsidR="00391A7D">
              <w:rPr>
                <w:webHidden/>
              </w:rPr>
              <w:fldChar w:fldCharType="begin"/>
            </w:r>
            <w:r w:rsidR="00391A7D">
              <w:rPr>
                <w:webHidden/>
              </w:rPr>
              <w:instrText xml:space="preserve"> PAGEREF _Toc89157426 \h </w:instrText>
            </w:r>
            <w:r w:rsidR="00391A7D">
              <w:rPr>
                <w:webHidden/>
              </w:rPr>
            </w:r>
            <w:r w:rsidR="00391A7D">
              <w:rPr>
                <w:webHidden/>
              </w:rPr>
              <w:fldChar w:fldCharType="separate"/>
            </w:r>
            <w:r w:rsidR="00D5225F">
              <w:rPr>
                <w:noProof/>
                <w:webHidden/>
              </w:rPr>
              <w:t>4</w:t>
            </w:r>
            <w:r w:rsidR="00391A7D">
              <w:rPr>
                <w:webHidden/>
              </w:rPr>
              <w:fldChar w:fldCharType="end"/>
            </w:r>
          </w:hyperlink>
        </w:p>
        <w:p w14:paraId="4C7B867C" w14:textId="17C0FC36" w:rsidR="00391A7D" w:rsidRDefault="00000000">
          <w:pPr>
            <w:pStyle w:val="TDC2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sz w:val="22"/>
              <w:szCs w:val="22"/>
              <w:lang w:val="es-DO" w:eastAsia="es-DO"/>
            </w:rPr>
          </w:pPr>
          <w:hyperlink w:anchor="_Toc89157427" w:history="1"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1.3 Comparativo entre las Transferencias del Gobierno Central y el 5% del ISR Pagado por PVDC Período 2016</w:t>
            </w:r>
            <w:r w:rsidR="00983C32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 </w:t>
            </w:r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-</w:t>
            </w:r>
            <w:r w:rsidR="00983C32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 </w:t>
            </w:r>
            <w:r w:rsidR="007966FE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2022</w:t>
            </w:r>
            <w:r w:rsidR="00391A7D">
              <w:rPr>
                <w:webHidden/>
              </w:rPr>
              <w:tab/>
            </w:r>
            <w:r w:rsidR="00391A7D">
              <w:rPr>
                <w:webHidden/>
              </w:rPr>
              <w:fldChar w:fldCharType="begin"/>
            </w:r>
            <w:r w:rsidR="00391A7D">
              <w:rPr>
                <w:webHidden/>
              </w:rPr>
              <w:instrText xml:space="preserve"> PAGEREF _Toc89157427 \h </w:instrText>
            </w:r>
            <w:r w:rsidR="00391A7D">
              <w:rPr>
                <w:webHidden/>
              </w:rPr>
            </w:r>
            <w:r w:rsidR="00391A7D">
              <w:rPr>
                <w:webHidden/>
              </w:rPr>
              <w:fldChar w:fldCharType="separate"/>
            </w:r>
            <w:r w:rsidR="00D5225F">
              <w:rPr>
                <w:noProof/>
                <w:webHidden/>
              </w:rPr>
              <w:t>6</w:t>
            </w:r>
            <w:r w:rsidR="00391A7D">
              <w:rPr>
                <w:webHidden/>
              </w:rPr>
              <w:fldChar w:fldCharType="end"/>
            </w:r>
          </w:hyperlink>
        </w:p>
        <w:p w14:paraId="39E3122C" w14:textId="2E5A4DFC" w:rsidR="00391A7D" w:rsidRDefault="00000000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  <w:lang w:val="es-DO" w:eastAsia="es-DO"/>
            </w:rPr>
          </w:pPr>
          <w:hyperlink w:anchor="_Toc89157428" w:history="1"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2.</w:t>
            </w:r>
            <w:r w:rsidR="00391A7D">
              <w:rPr>
                <w:rFonts w:asciiTheme="minorHAnsi" w:eastAsiaTheme="minorEastAsia" w:hAnsiTheme="minorHAnsi" w:cstheme="minorBidi"/>
                <w:sz w:val="22"/>
                <w:szCs w:val="22"/>
                <w:lang w:val="es-DO" w:eastAsia="es-DO"/>
              </w:rPr>
              <w:tab/>
            </w:r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Distribución Territorial de los Fondos Recibidos por el Consejo Provincial de FOMISAR en </w:t>
            </w:r>
            <w:r w:rsidR="007966FE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2021</w:t>
            </w:r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 y </w:t>
            </w:r>
            <w:r w:rsidR="007966FE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2022</w:t>
            </w:r>
            <w:r w:rsidR="00391A7D">
              <w:rPr>
                <w:webHidden/>
              </w:rPr>
              <w:tab/>
            </w:r>
            <w:r w:rsidR="00391A7D">
              <w:rPr>
                <w:webHidden/>
              </w:rPr>
              <w:fldChar w:fldCharType="begin"/>
            </w:r>
            <w:r w:rsidR="00391A7D">
              <w:rPr>
                <w:webHidden/>
              </w:rPr>
              <w:instrText xml:space="preserve"> PAGEREF _Toc89157428 \h </w:instrText>
            </w:r>
            <w:r w:rsidR="00391A7D">
              <w:rPr>
                <w:webHidden/>
              </w:rPr>
            </w:r>
            <w:r w:rsidR="00391A7D">
              <w:rPr>
                <w:webHidden/>
              </w:rPr>
              <w:fldChar w:fldCharType="separate"/>
            </w:r>
            <w:r w:rsidR="00D5225F">
              <w:rPr>
                <w:noProof/>
                <w:webHidden/>
              </w:rPr>
              <w:t>7</w:t>
            </w:r>
            <w:r w:rsidR="00391A7D">
              <w:rPr>
                <w:webHidden/>
              </w:rPr>
              <w:fldChar w:fldCharType="end"/>
            </w:r>
          </w:hyperlink>
        </w:p>
        <w:p w14:paraId="573CF4A1" w14:textId="7FEE63C4" w:rsidR="00391A7D" w:rsidRDefault="00000000">
          <w:pPr>
            <w:pStyle w:val="TDC2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sz w:val="22"/>
              <w:szCs w:val="22"/>
              <w:lang w:val="es-DO" w:eastAsia="es-DO"/>
            </w:rPr>
          </w:pPr>
          <w:hyperlink w:anchor="_Toc89157429" w:history="1"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2.1 Disposiciones del Marco Legal Vigente sobre la Distribución Territorial de los Fondos Mineros de la Provincia Sánchez Ramírez</w:t>
            </w:r>
            <w:r w:rsidR="00391A7D">
              <w:rPr>
                <w:webHidden/>
              </w:rPr>
              <w:tab/>
            </w:r>
            <w:r w:rsidR="00391A7D">
              <w:rPr>
                <w:webHidden/>
              </w:rPr>
              <w:fldChar w:fldCharType="begin"/>
            </w:r>
            <w:r w:rsidR="00391A7D">
              <w:rPr>
                <w:webHidden/>
              </w:rPr>
              <w:instrText xml:space="preserve"> PAGEREF _Toc89157429 \h </w:instrText>
            </w:r>
            <w:r w:rsidR="00391A7D">
              <w:rPr>
                <w:webHidden/>
              </w:rPr>
            </w:r>
            <w:r w:rsidR="00391A7D">
              <w:rPr>
                <w:webHidden/>
              </w:rPr>
              <w:fldChar w:fldCharType="separate"/>
            </w:r>
            <w:r w:rsidR="00D5225F">
              <w:rPr>
                <w:noProof/>
                <w:webHidden/>
              </w:rPr>
              <w:t>7</w:t>
            </w:r>
            <w:r w:rsidR="00391A7D">
              <w:rPr>
                <w:webHidden/>
              </w:rPr>
              <w:fldChar w:fldCharType="end"/>
            </w:r>
          </w:hyperlink>
        </w:p>
        <w:p w14:paraId="5881ABBD" w14:textId="11F7844B" w:rsidR="00391A7D" w:rsidRDefault="00000000">
          <w:pPr>
            <w:pStyle w:val="TDC2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sz w:val="22"/>
              <w:szCs w:val="22"/>
              <w:lang w:val="es-DO" w:eastAsia="es-DO"/>
            </w:rPr>
          </w:pPr>
          <w:hyperlink w:anchor="_Toc89157430" w:history="1"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2.2 Comparativo entre las Transferencias del Gobierno Central y los Fondos que el Consejo Provincial de FOMISAR </w:t>
            </w:r>
            <w:r w:rsidR="00D67EEF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r</w:t>
            </w:r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eporta como </w:t>
            </w:r>
            <w:r w:rsidR="00E45F56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R</w:t>
            </w:r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ecibidos en </w:t>
            </w:r>
            <w:r w:rsidR="007966FE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2021</w:t>
            </w:r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 y </w:t>
            </w:r>
            <w:r w:rsidR="007966FE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2022</w:t>
            </w:r>
            <w:r w:rsidR="00391A7D">
              <w:rPr>
                <w:webHidden/>
              </w:rPr>
              <w:tab/>
            </w:r>
            <w:r w:rsidR="00391A7D">
              <w:rPr>
                <w:webHidden/>
              </w:rPr>
              <w:fldChar w:fldCharType="begin"/>
            </w:r>
            <w:r w:rsidR="00391A7D">
              <w:rPr>
                <w:webHidden/>
              </w:rPr>
              <w:instrText xml:space="preserve"> PAGEREF _Toc89157430 \h </w:instrText>
            </w:r>
            <w:r w:rsidR="00391A7D">
              <w:rPr>
                <w:webHidden/>
              </w:rPr>
            </w:r>
            <w:r w:rsidR="00391A7D">
              <w:rPr>
                <w:webHidden/>
              </w:rPr>
              <w:fldChar w:fldCharType="separate"/>
            </w:r>
            <w:r w:rsidR="00D5225F">
              <w:rPr>
                <w:noProof/>
                <w:webHidden/>
              </w:rPr>
              <w:t>9</w:t>
            </w:r>
            <w:r w:rsidR="00391A7D">
              <w:rPr>
                <w:webHidden/>
              </w:rPr>
              <w:fldChar w:fldCharType="end"/>
            </w:r>
          </w:hyperlink>
        </w:p>
        <w:p w14:paraId="01A6570B" w14:textId="5467DD53" w:rsidR="00391A7D" w:rsidRDefault="00000000">
          <w:pPr>
            <w:pStyle w:val="TDC2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sz w:val="22"/>
              <w:szCs w:val="22"/>
              <w:lang w:val="es-DO" w:eastAsia="es-DO"/>
            </w:rPr>
          </w:pPr>
          <w:hyperlink w:anchor="_Toc89157431" w:history="1"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2.3 Comparativo entre la Distribución Territorial Establecida por el Marco Legal Vigente y la Ejecutada por el Consejo Provincial de FOMISAR en </w:t>
            </w:r>
            <w:r w:rsidR="007966FE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2021</w:t>
            </w:r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 y </w:t>
            </w:r>
            <w:r w:rsidR="007966FE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2022</w:t>
            </w:r>
            <w:r w:rsidR="00391A7D">
              <w:rPr>
                <w:webHidden/>
              </w:rPr>
              <w:tab/>
            </w:r>
            <w:r w:rsidR="00391A7D">
              <w:rPr>
                <w:webHidden/>
              </w:rPr>
              <w:fldChar w:fldCharType="begin"/>
            </w:r>
            <w:r w:rsidR="00391A7D">
              <w:rPr>
                <w:webHidden/>
              </w:rPr>
              <w:instrText xml:space="preserve"> PAGEREF _Toc89157431 \h </w:instrText>
            </w:r>
            <w:r w:rsidR="00391A7D">
              <w:rPr>
                <w:webHidden/>
              </w:rPr>
            </w:r>
            <w:r w:rsidR="00391A7D">
              <w:rPr>
                <w:webHidden/>
              </w:rPr>
              <w:fldChar w:fldCharType="separate"/>
            </w:r>
            <w:r w:rsidR="00D5225F">
              <w:rPr>
                <w:noProof/>
                <w:webHidden/>
              </w:rPr>
              <w:t>10</w:t>
            </w:r>
            <w:r w:rsidR="00391A7D">
              <w:rPr>
                <w:webHidden/>
              </w:rPr>
              <w:fldChar w:fldCharType="end"/>
            </w:r>
          </w:hyperlink>
        </w:p>
        <w:p w14:paraId="6565EB41" w14:textId="0EF2FDA6" w:rsidR="00391A7D" w:rsidRDefault="00000000">
          <w:pPr>
            <w:pStyle w:val="TDC3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sz w:val="22"/>
              <w:szCs w:val="22"/>
              <w:lang w:val="es-DO" w:eastAsia="es-DO"/>
            </w:rPr>
          </w:pPr>
          <w:hyperlink w:anchor="_Toc89157432" w:history="1"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2.3.1 General (Primer Nivel de Verificación)</w:t>
            </w:r>
            <w:r w:rsidR="00391A7D">
              <w:rPr>
                <w:webHidden/>
              </w:rPr>
              <w:tab/>
            </w:r>
            <w:r w:rsidR="00391A7D">
              <w:rPr>
                <w:webHidden/>
              </w:rPr>
              <w:fldChar w:fldCharType="begin"/>
            </w:r>
            <w:r w:rsidR="00391A7D">
              <w:rPr>
                <w:webHidden/>
              </w:rPr>
              <w:instrText xml:space="preserve"> PAGEREF _Toc89157432 \h </w:instrText>
            </w:r>
            <w:r w:rsidR="00391A7D">
              <w:rPr>
                <w:webHidden/>
              </w:rPr>
            </w:r>
            <w:r w:rsidR="00391A7D">
              <w:rPr>
                <w:webHidden/>
              </w:rPr>
              <w:fldChar w:fldCharType="separate"/>
            </w:r>
            <w:r w:rsidR="00D5225F">
              <w:rPr>
                <w:noProof/>
                <w:webHidden/>
              </w:rPr>
              <w:t>10</w:t>
            </w:r>
            <w:r w:rsidR="00391A7D">
              <w:rPr>
                <w:webHidden/>
              </w:rPr>
              <w:fldChar w:fldCharType="end"/>
            </w:r>
          </w:hyperlink>
        </w:p>
        <w:p w14:paraId="11FF078A" w14:textId="7342B326" w:rsidR="00391A7D" w:rsidRDefault="00000000">
          <w:pPr>
            <w:pStyle w:val="TDC3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sz w:val="22"/>
              <w:szCs w:val="22"/>
              <w:lang w:val="es-DO" w:eastAsia="es-DO"/>
            </w:rPr>
          </w:pPr>
          <w:hyperlink w:anchor="_Toc89157433" w:history="1"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2.3.2 Distribución Demás Municipios (Segundo Nivel de Verificación)</w:t>
            </w:r>
            <w:r w:rsidR="00391A7D">
              <w:rPr>
                <w:webHidden/>
              </w:rPr>
              <w:tab/>
            </w:r>
            <w:r w:rsidR="00391A7D">
              <w:rPr>
                <w:webHidden/>
              </w:rPr>
              <w:fldChar w:fldCharType="begin"/>
            </w:r>
            <w:r w:rsidR="00391A7D">
              <w:rPr>
                <w:webHidden/>
              </w:rPr>
              <w:instrText xml:space="preserve"> PAGEREF _Toc89157433 \h </w:instrText>
            </w:r>
            <w:r w:rsidR="00391A7D">
              <w:rPr>
                <w:webHidden/>
              </w:rPr>
            </w:r>
            <w:r w:rsidR="00391A7D">
              <w:rPr>
                <w:webHidden/>
              </w:rPr>
              <w:fldChar w:fldCharType="separate"/>
            </w:r>
            <w:r w:rsidR="00D5225F">
              <w:rPr>
                <w:noProof/>
                <w:webHidden/>
              </w:rPr>
              <w:t>13</w:t>
            </w:r>
            <w:r w:rsidR="00391A7D">
              <w:rPr>
                <w:webHidden/>
              </w:rPr>
              <w:fldChar w:fldCharType="end"/>
            </w:r>
          </w:hyperlink>
        </w:p>
        <w:p w14:paraId="7FD0FFC9" w14:textId="007622BD" w:rsidR="00391A7D" w:rsidRDefault="00000000">
          <w:pPr>
            <w:pStyle w:val="TDC2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sz w:val="22"/>
              <w:szCs w:val="22"/>
              <w:lang w:val="es-DO" w:eastAsia="es-DO"/>
            </w:rPr>
          </w:pPr>
          <w:hyperlink w:anchor="_Toc89157434" w:history="1"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2.4 Comparativo entre la Distribución Territorial Establecida por el Marco Legal Vigente y la Ejecutada por el Consejo Provincial de FOMISAR en </w:t>
            </w:r>
            <w:r w:rsidR="007966FE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2021</w:t>
            </w:r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 y </w:t>
            </w:r>
            <w:r w:rsidR="007966FE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2022</w:t>
            </w:r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 (Consolidado Primer y Segundo Nivel de Verificación)</w:t>
            </w:r>
            <w:r w:rsidR="00391A7D">
              <w:rPr>
                <w:webHidden/>
              </w:rPr>
              <w:tab/>
            </w:r>
            <w:r w:rsidR="00391A7D">
              <w:rPr>
                <w:webHidden/>
              </w:rPr>
              <w:fldChar w:fldCharType="begin"/>
            </w:r>
            <w:r w:rsidR="00391A7D">
              <w:rPr>
                <w:webHidden/>
              </w:rPr>
              <w:instrText xml:space="preserve"> PAGEREF _Toc89157434 \h </w:instrText>
            </w:r>
            <w:r w:rsidR="00391A7D">
              <w:rPr>
                <w:webHidden/>
              </w:rPr>
            </w:r>
            <w:r w:rsidR="00391A7D">
              <w:rPr>
                <w:webHidden/>
              </w:rPr>
              <w:fldChar w:fldCharType="separate"/>
            </w:r>
            <w:r w:rsidR="00D5225F">
              <w:rPr>
                <w:noProof/>
                <w:webHidden/>
              </w:rPr>
              <w:t>15</w:t>
            </w:r>
            <w:r w:rsidR="00391A7D">
              <w:rPr>
                <w:webHidden/>
              </w:rPr>
              <w:fldChar w:fldCharType="end"/>
            </w:r>
          </w:hyperlink>
        </w:p>
        <w:p w14:paraId="0FF1CD3D" w14:textId="00D4DA9C" w:rsidR="00391A7D" w:rsidRDefault="00000000">
          <w:pPr>
            <w:pStyle w:val="TDC2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sz w:val="22"/>
              <w:szCs w:val="22"/>
              <w:lang w:val="es-DO" w:eastAsia="es-DO"/>
            </w:rPr>
          </w:pPr>
          <w:hyperlink w:anchor="_Toc89157435" w:history="1"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Conclusiones</w:t>
            </w:r>
            <w:r w:rsidR="00391A7D">
              <w:rPr>
                <w:webHidden/>
              </w:rPr>
              <w:tab/>
            </w:r>
            <w:r w:rsidR="00391A7D">
              <w:rPr>
                <w:webHidden/>
              </w:rPr>
              <w:fldChar w:fldCharType="begin"/>
            </w:r>
            <w:r w:rsidR="00391A7D">
              <w:rPr>
                <w:webHidden/>
              </w:rPr>
              <w:instrText xml:space="preserve"> PAGEREF _Toc89157435 \h </w:instrText>
            </w:r>
            <w:r w:rsidR="00391A7D">
              <w:rPr>
                <w:webHidden/>
              </w:rPr>
            </w:r>
            <w:r w:rsidR="00391A7D">
              <w:rPr>
                <w:webHidden/>
              </w:rPr>
              <w:fldChar w:fldCharType="separate"/>
            </w:r>
            <w:r w:rsidR="00D5225F">
              <w:rPr>
                <w:noProof/>
                <w:webHidden/>
              </w:rPr>
              <w:t>17</w:t>
            </w:r>
            <w:r w:rsidR="00391A7D">
              <w:rPr>
                <w:webHidden/>
              </w:rPr>
              <w:fldChar w:fldCharType="end"/>
            </w:r>
          </w:hyperlink>
        </w:p>
        <w:p w14:paraId="4A5B6384" w14:textId="42E9807B" w:rsidR="00391A7D" w:rsidRDefault="00000000">
          <w:pPr>
            <w:pStyle w:val="TDC2"/>
            <w:tabs>
              <w:tab w:val="right" w:leader="dot" w:pos="8779"/>
            </w:tabs>
            <w:rPr>
              <w:rFonts w:asciiTheme="minorHAnsi" w:eastAsiaTheme="minorEastAsia" w:hAnsiTheme="minorHAnsi" w:cstheme="minorBidi"/>
              <w:sz w:val="22"/>
              <w:szCs w:val="22"/>
              <w:lang w:val="es-DO" w:eastAsia="es-DO"/>
            </w:rPr>
          </w:pPr>
          <w:hyperlink w:anchor="_Toc89157436" w:history="1"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Anexo: Solicitud de Apoyo Sometida ante la Dirección de Análisis Económico y Financiero</w:t>
            </w:r>
            <w:r w:rsidR="00E45F56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 xml:space="preserve"> Sectorial </w:t>
            </w:r>
            <w:r w:rsidR="00391A7D" w:rsidRPr="00C33618">
              <w:rPr>
                <w:rStyle w:val="Hipervnculo"/>
                <w:rFonts w:ascii="Arial Narrow" w:eastAsia="Times New Roman" w:hAnsi="Arial Narrow"/>
                <w:b/>
                <w:lang w:val="es-DO"/>
              </w:rPr>
              <w:t>por el Coordinador Nacional EITI-RD</w:t>
            </w:r>
            <w:r w:rsidR="00391A7D">
              <w:rPr>
                <w:webHidden/>
              </w:rPr>
              <w:tab/>
            </w:r>
            <w:r w:rsidR="00391A7D">
              <w:rPr>
                <w:webHidden/>
              </w:rPr>
              <w:fldChar w:fldCharType="begin"/>
            </w:r>
            <w:r w:rsidR="00391A7D">
              <w:rPr>
                <w:webHidden/>
              </w:rPr>
              <w:instrText xml:space="preserve"> PAGEREF _Toc89157436 \h </w:instrText>
            </w:r>
            <w:r w:rsidR="00391A7D">
              <w:rPr>
                <w:webHidden/>
              </w:rPr>
            </w:r>
            <w:r w:rsidR="00391A7D">
              <w:rPr>
                <w:webHidden/>
              </w:rPr>
              <w:fldChar w:fldCharType="separate"/>
            </w:r>
            <w:r w:rsidR="00D5225F">
              <w:rPr>
                <w:noProof/>
                <w:webHidden/>
              </w:rPr>
              <w:t>18</w:t>
            </w:r>
            <w:r w:rsidR="00391A7D">
              <w:rPr>
                <w:webHidden/>
              </w:rPr>
              <w:fldChar w:fldCharType="end"/>
            </w:r>
          </w:hyperlink>
        </w:p>
        <w:p w14:paraId="3C7C4137" w14:textId="2F05AE4C" w:rsidR="009B7426" w:rsidRPr="008E2D67" w:rsidRDefault="009B7426">
          <w:r w:rsidRPr="008E2D67">
            <w:rPr>
              <w:rFonts w:asciiTheme="minorHAnsi" w:hAnsiTheme="minorHAnsi" w:cstheme="minorHAnsi"/>
              <w:b/>
              <w:bCs/>
              <w:sz w:val="22"/>
              <w:szCs w:val="22"/>
              <w:lang w:val="es-ES"/>
            </w:rPr>
            <w:fldChar w:fldCharType="end"/>
          </w:r>
        </w:p>
      </w:sdtContent>
    </w:sdt>
    <w:p w14:paraId="53690356" w14:textId="66D0A087" w:rsidR="000D79BD" w:rsidRPr="008E2D67" w:rsidRDefault="00285A77" w:rsidP="00E04952">
      <w:pPr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</w:pPr>
      <w:r w:rsidRPr="008E2D67">
        <w:rPr>
          <w:rFonts w:ascii="Arial Narrow" w:eastAsia="Times New Roman" w:hAnsi="Arial Narrow"/>
          <w:b/>
          <w:color w:val="00B0F0"/>
          <w:sz w:val="32"/>
          <w:szCs w:val="32"/>
          <w:lang w:val="es-DO"/>
        </w:rPr>
        <w:br w:type="page"/>
      </w:r>
      <w:bookmarkStart w:id="1" w:name="_Toc371753"/>
      <w:bookmarkStart w:id="2" w:name="_Toc55570259"/>
      <w:bookmarkStart w:id="3" w:name="_Toc55570638"/>
      <w:bookmarkEnd w:id="0"/>
    </w:p>
    <w:p w14:paraId="782A5F17" w14:textId="77777777" w:rsidR="008D18A7" w:rsidRDefault="008D18A7" w:rsidP="00647FBD">
      <w:pPr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</w:pPr>
      <w:bookmarkStart w:id="4" w:name="_Toc31065195"/>
      <w:bookmarkEnd w:id="1"/>
      <w:bookmarkEnd w:id="2"/>
      <w:bookmarkEnd w:id="3"/>
    </w:p>
    <w:bookmarkEnd w:id="4"/>
    <w:p w14:paraId="2F563444" w14:textId="77777777" w:rsidR="00AA6B10" w:rsidRPr="008E2D67" w:rsidRDefault="00AA6B10" w:rsidP="00AA6B10">
      <w:pPr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</w:pPr>
      <w:r w:rsidRPr="008E2D67"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>Objetivo</w:t>
      </w:r>
    </w:p>
    <w:p w14:paraId="191FDB37" w14:textId="77777777" w:rsidR="00AA6B10" w:rsidRPr="008E2D67" w:rsidRDefault="00AA6B10" w:rsidP="00AA6B10">
      <w:pPr>
        <w:spacing w:line="259" w:lineRule="auto"/>
        <w:rPr>
          <w:rFonts w:ascii="Calibri" w:hAnsi="Calibri"/>
          <w:sz w:val="22"/>
          <w:szCs w:val="22"/>
          <w:lang w:val="es-DO"/>
        </w:rPr>
      </w:pPr>
    </w:p>
    <w:p w14:paraId="76297D88" w14:textId="714BC74D" w:rsidR="00AA6B10" w:rsidRDefault="00AA6B10" w:rsidP="00AA6B10">
      <w:pPr>
        <w:spacing w:line="259" w:lineRule="auto"/>
        <w:jc w:val="both"/>
        <w:rPr>
          <w:rFonts w:asciiTheme="minorHAnsi" w:hAnsiTheme="minorHAnsi"/>
          <w:color w:val="000000"/>
          <w:lang w:val="es-DO"/>
        </w:rPr>
      </w:pPr>
      <w:r w:rsidRPr="008E4174">
        <w:rPr>
          <w:rFonts w:asciiTheme="minorHAnsi" w:hAnsiTheme="minorHAnsi"/>
          <w:lang w:val="es-DO"/>
        </w:rPr>
        <w:t>El presente documento constituye una respuesta a la solicitud de apoyo sometida ante la Dirección de Análisis Económico y Financiero</w:t>
      </w:r>
      <w:r>
        <w:rPr>
          <w:rFonts w:asciiTheme="minorHAnsi" w:hAnsiTheme="minorHAnsi"/>
          <w:lang w:val="es-DO"/>
        </w:rPr>
        <w:t xml:space="preserve"> Sectorial</w:t>
      </w:r>
      <w:r w:rsidRPr="008E4174">
        <w:rPr>
          <w:rFonts w:asciiTheme="minorHAnsi" w:hAnsiTheme="minorHAnsi"/>
          <w:lang w:val="es-DO"/>
        </w:rPr>
        <w:t xml:space="preserve"> (</w:t>
      </w:r>
      <w:proofErr w:type="spellStart"/>
      <w:r w:rsidRPr="008E4174">
        <w:rPr>
          <w:rFonts w:asciiTheme="minorHAnsi" w:hAnsiTheme="minorHAnsi"/>
          <w:lang w:val="es-DO"/>
        </w:rPr>
        <w:t>DAEF</w:t>
      </w:r>
      <w:r>
        <w:rPr>
          <w:rFonts w:asciiTheme="minorHAnsi" w:hAnsiTheme="minorHAnsi"/>
          <w:lang w:val="es-DO"/>
        </w:rPr>
        <w:t>S</w:t>
      </w:r>
      <w:proofErr w:type="spellEnd"/>
      <w:r w:rsidRPr="008E4174">
        <w:rPr>
          <w:rFonts w:asciiTheme="minorHAnsi" w:hAnsiTheme="minorHAnsi"/>
          <w:lang w:val="es-DO"/>
        </w:rPr>
        <w:t xml:space="preserve">) del Ministerio de Energía y Minas </w:t>
      </w:r>
      <w:r w:rsidRPr="008E4174">
        <w:rPr>
          <w:rFonts w:asciiTheme="minorHAnsi" w:hAnsiTheme="minorHAnsi"/>
          <w:color w:val="000000"/>
          <w:lang w:val="es-DO"/>
        </w:rPr>
        <w:t>(</w:t>
      </w:r>
      <w:proofErr w:type="spellStart"/>
      <w:r w:rsidRPr="008E4174">
        <w:rPr>
          <w:rFonts w:asciiTheme="minorHAnsi" w:hAnsiTheme="minorHAnsi"/>
          <w:color w:val="000000"/>
          <w:lang w:val="es-DO"/>
        </w:rPr>
        <w:t>MEM</w:t>
      </w:r>
      <w:proofErr w:type="spellEnd"/>
      <w:r w:rsidRPr="008E4174">
        <w:rPr>
          <w:rFonts w:asciiTheme="minorHAnsi" w:hAnsiTheme="minorHAnsi"/>
          <w:color w:val="000000"/>
          <w:lang w:val="es-DO"/>
        </w:rPr>
        <w:t>), por el Coordinador Nacional de la Iniciativa para la Transparencia de las Industrias Extractivas (</w:t>
      </w:r>
      <w:proofErr w:type="spellStart"/>
      <w:r w:rsidRPr="008E4174">
        <w:rPr>
          <w:rFonts w:asciiTheme="minorHAnsi" w:hAnsiTheme="minorHAnsi"/>
          <w:color w:val="000000"/>
          <w:lang w:val="es-DO"/>
        </w:rPr>
        <w:t>EITI</w:t>
      </w:r>
      <w:proofErr w:type="spellEnd"/>
      <w:r w:rsidRPr="008E4174">
        <w:rPr>
          <w:rFonts w:asciiTheme="minorHAnsi" w:hAnsiTheme="minorHAnsi"/>
          <w:color w:val="000000"/>
          <w:lang w:val="es-DO"/>
        </w:rPr>
        <w:t>-RD), Sr. Gustavo Mejía-Ricart, con respecto al valor de las transferencias realizadas por el Gobierno Central al Consejo Provincial para la Administración de los Fondos Mineros de la Provincia Sánchez Ramírez (</w:t>
      </w:r>
      <w:proofErr w:type="spellStart"/>
      <w:r w:rsidRPr="008E4174">
        <w:rPr>
          <w:rFonts w:asciiTheme="minorHAnsi" w:hAnsiTheme="minorHAnsi"/>
          <w:color w:val="000000"/>
          <w:lang w:val="es-DO"/>
        </w:rPr>
        <w:t>FOMISAR</w:t>
      </w:r>
      <w:proofErr w:type="spellEnd"/>
      <w:r w:rsidRPr="008E4174">
        <w:rPr>
          <w:rFonts w:asciiTheme="minorHAnsi" w:hAnsiTheme="minorHAnsi"/>
          <w:color w:val="000000"/>
          <w:lang w:val="es-DO"/>
        </w:rPr>
        <w:t xml:space="preserve">), </w:t>
      </w:r>
      <w:r>
        <w:rPr>
          <w:rFonts w:asciiTheme="minorHAnsi" w:hAnsiTheme="minorHAnsi"/>
          <w:color w:val="000000"/>
          <w:lang w:val="es-DO"/>
        </w:rPr>
        <w:t>por concepto</w:t>
      </w:r>
      <w:r w:rsidRPr="008E4174">
        <w:rPr>
          <w:rFonts w:asciiTheme="minorHAnsi" w:hAnsiTheme="minorHAnsi"/>
          <w:color w:val="000000"/>
          <w:lang w:val="es-DO"/>
        </w:rPr>
        <w:t xml:space="preserve"> del 5% de los beneficios netos generados por Pueblo Viejo Dominican</w:t>
      </w:r>
      <w:r w:rsidR="00D573EC">
        <w:rPr>
          <w:rFonts w:asciiTheme="minorHAnsi" w:hAnsiTheme="minorHAnsi"/>
          <w:color w:val="000000"/>
          <w:lang w:val="es-DO"/>
        </w:rPr>
        <w:t>a</w:t>
      </w:r>
      <w:r w:rsidRPr="008E4174">
        <w:rPr>
          <w:rFonts w:asciiTheme="minorHAnsi" w:hAnsiTheme="minorHAnsi"/>
          <w:color w:val="000000"/>
          <w:lang w:val="es-DO"/>
        </w:rPr>
        <w:t xml:space="preserve"> </w:t>
      </w:r>
      <w:proofErr w:type="spellStart"/>
      <w:r w:rsidRPr="008E4174">
        <w:rPr>
          <w:rFonts w:asciiTheme="minorHAnsi" w:hAnsiTheme="minorHAnsi"/>
          <w:color w:val="000000"/>
          <w:lang w:val="es-DO"/>
        </w:rPr>
        <w:t>Corporation</w:t>
      </w:r>
      <w:proofErr w:type="spellEnd"/>
      <w:r w:rsidRPr="008E4174">
        <w:rPr>
          <w:rFonts w:asciiTheme="minorHAnsi" w:hAnsiTheme="minorHAnsi"/>
          <w:color w:val="000000"/>
          <w:lang w:val="es-DO"/>
        </w:rPr>
        <w:t xml:space="preserve"> </w:t>
      </w:r>
      <w:r>
        <w:rPr>
          <w:rFonts w:asciiTheme="minorHAnsi" w:hAnsiTheme="minorHAnsi"/>
          <w:color w:val="000000"/>
          <w:lang w:val="es-DO"/>
        </w:rPr>
        <w:t>(</w:t>
      </w:r>
      <w:proofErr w:type="spellStart"/>
      <w:r>
        <w:rPr>
          <w:rFonts w:asciiTheme="minorHAnsi" w:hAnsiTheme="minorHAnsi"/>
          <w:color w:val="000000"/>
          <w:lang w:val="es-DO"/>
        </w:rPr>
        <w:t>PVDC</w:t>
      </w:r>
      <w:proofErr w:type="spellEnd"/>
      <w:r>
        <w:rPr>
          <w:rFonts w:asciiTheme="minorHAnsi" w:hAnsiTheme="minorHAnsi"/>
          <w:color w:val="000000"/>
          <w:lang w:val="es-DO"/>
        </w:rPr>
        <w:t xml:space="preserve">) </w:t>
      </w:r>
      <w:r w:rsidRPr="008E4174">
        <w:rPr>
          <w:rFonts w:asciiTheme="minorHAnsi" w:hAnsiTheme="minorHAnsi"/>
          <w:color w:val="000000"/>
          <w:lang w:val="es-DO"/>
        </w:rPr>
        <w:t xml:space="preserve">durante los años </w:t>
      </w:r>
      <w:r>
        <w:rPr>
          <w:rFonts w:asciiTheme="minorHAnsi" w:hAnsiTheme="minorHAnsi"/>
          <w:color w:val="000000"/>
          <w:lang w:val="es-DO"/>
        </w:rPr>
        <w:t>2021</w:t>
      </w:r>
      <w:r w:rsidRPr="008E4174">
        <w:rPr>
          <w:rFonts w:asciiTheme="minorHAnsi" w:hAnsiTheme="minorHAnsi"/>
          <w:color w:val="000000"/>
          <w:lang w:val="es-DO"/>
        </w:rPr>
        <w:t xml:space="preserve"> y 202</w:t>
      </w:r>
      <w:r>
        <w:rPr>
          <w:rFonts w:asciiTheme="minorHAnsi" w:hAnsiTheme="minorHAnsi"/>
          <w:color w:val="000000"/>
          <w:lang w:val="es-DO"/>
        </w:rPr>
        <w:t>2</w:t>
      </w:r>
      <w:r w:rsidRPr="008E4174">
        <w:rPr>
          <w:rFonts w:asciiTheme="minorHAnsi" w:hAnsiTheme="minorHAnsi"/>
          <w:color w:val="000000"/>
          <w:lang w:val="es-DO"/>
        </w:rPr>
        <w:t xml:space="preserve">, en virtud de las disposiciones contenidas en la Ley No. 64-00 </w:t>
      </w:r>
      <w:r w:rsidRPr="008E4174">
        <w:rPr>
          <w:rFonts w:asciiTheme="minorHAnsi" w:hAnsiTheme="minorHAnsi"/>
        </w:rPr>
        <w:t xml:space="preserve">sobre Medio Ambiente y Recursos Naturales, </w:t>
      </w:r>
      <w:r w:rsidRPr="008E4174">
        <w:rPr>
          <w:rFonts w:asciiTheme="minorHAnsi" w:hAnsiTheme="minorHAnsi"/>
          <w:color w:val="000000"/>
          <w:lang w:val="es-DO"/>
        </w:rPr>
        <w:t xml:space="preserve">y en </w:t>
      </w:r>
      <w:r>
        <w:rPr>
          <w:rFonts w:asciiTheme="minorHAnsi" w:hAnsiTheme="minorHAnsi"/>
          <w:color w:val="000000"/>
          <w:lang w:val="es-DO"/>
        </w:rPr>
        <w:t>el</w:t>
      </w:r>
      <w:r w:rsidRPr="008E4174">
        <w:rPr>
          <w:rFonts w:asciiTheme="minorHAnsi" w:hAnsiTheme="minorHAnsi"/>
          <w:color w:val="000000"/>
          <w:lang w:val="es-DO"/>
        </w:rPr>
        <w:t xml:space="preserve"> Contrato Especial de Arrendamiento de Derechos Mineros</w:t>
      </w:r>
      <w:r>
        <w:rPr>
          <w:rFonts w:asciiTheme="minorHAnsi" w:hAnsiTheme="minorHAnsi"/>
          <w:color w:val="000000"/>
          <w:lang w:val="es-DO"/>
        </w:rPr>
        <w:t xml:space="preserve"> (</w:t>
      </w:r>
      <w:proofErr w:type="spellStart"/>
      <w:r>
        <w:rPr>
          <w:rFonts w:asciiTheme="minorHAnsi" w:hAnsiTheme="minorHAnsi"/>
          <w:color w:val="000000"/>
          <w:lang w:val="es-DO"/>
        </w:rPr>
        <w:t>CEAM</w:t>
      </w:r>
      <w:proofErr w:type="spellEnd"/>
      <w:r>
        <w:rPr>
          <w:rFonts w:asciiTheme="minorHAnsi" w:hAnsiTheme="minorHAnsi"/>
          <w:color w:val="000000"/>
          <w:lang w:val="es-DO"/>
        </w:rPr>
        <w:t xml:space="preserve">) </w:t>
      </w:r>
      <w:r w:rsidRPr="00D14783">
        <w:rPr>
          <w:rFonts w:asciiTheme="minorHAnsi" w:hAnsiTheme="minorHAnsi"/>
          <w:color w:val="000000"/>
          <w:lang w:val="es-DO"/>
        </w:rPr>
        <w:t xml:space="preserve">y sus respectivas </w:t>
      </w:r>
      <w:r w:rsidR="00CB77DA">
        <w:rPr>
          <w:rFonts w:asciiTheme="minorHAnsi" w:hAnsiTheme="minorHAnsi"/>
          <w:color w:val="000000"/>
          <w:lang w:val="es-DO"/>
        </w:rPr>
        <w:t>e</w:t>
      </w:r>
      <w:r w:rsidRPr="00D14783">
        <w:rPr>
          <w:rFonts w:asciiTheme="minorHAnsi" w:hAnsiTheme="minorHAnsi"/>
          <w:color w:val="000000"/>
          <w:lang w:val="es-DO"/>
        </w:rPr>
        <w:t>nmiendas</w:t>
      </w:r>
      <w:r>
        <w:rPr>
          <w:rFonts w:asciiTheme="minorHAnsi" w:hAnsiTheme="minorHAnsi"/>
          <w:color w:val="000000"/>
          <w:lang w:val="es-DO"/>
        </w:rPr>
        <w:t>.</w:t>
      </w:r>
      <w:r w:rsidRPr="008E4174">
        <w:rPr>
          <w:rFonts w:asciiTheme="minorHAnsi" w:hAnsiTheme="minorHAnsi"/>
          <w:color w:val="000000"/>
          <w:lang w:val="es-DO"/>
        </w:rPr>
        <w:t xml:space="preserve"> </w:t>
      </w:r>
    </w:p>
    <w:p w14:paraId="30C1BF39" w14:textId="77777777" w:rsidR="00AA6B10" w:rsidRDefault="00AA6B10" w:rsidP="00AA6B10">
      <w:pPr>
        <w:spacing w:line="259" w:lineRule="auto"/>
        <w:jc w:val="both"/>
        <w:rPr>
          <w:rFonts w:asciiTheme="minorHAnsi" w:hAnsiTheme="minorHAnsi"/>
          <w:color w:val="000000"/>
          <w:lang w:val="es-DO"/>
        </w:rPr>
      </w:pPr>
    </w:p>
    <w:p w14:paraId="13D1A814" w14:textId="77777777" w:rsidR="00AA6B10" w:rsidRPr="008E4174" w:rsidRDefault="00AA6B10" w:rsidP="00AA6B10">
      <w:pPr>
        <w:spacing w:line="259" w:lineRule="auto"/>
        <w:jc w:val="both"/>
        <w:rPr>
          <w:rFonts w:asciiTheme="minorHAnsi" w:hAnsiTheme="minorHAnsi"/>
          <w:color w:val="000000"/>
          <w:lang w:val="es-DO"/>
        </w:rPr>
      </w:pPr>
      <w:r>
        <w:rPr>
          <w:rFonts w:asciiTheme="minorHAnsi" w:hAnsiTheme="minorHAnsi"/>
          <w:color w:val="000000"/>
          <w:lang w:val="es-DO"/>
        </w:rPr>
        <w:t>A</w:t>
      </w:r>
      <w:r w:rsidRPr="008E4174">
        <w:rPr>
          <w:rFonts w:asciiTheme="minorHAnsi" w:hAnsiTheme="minorHAnsi"/>
          <w:color w:val="000000"/>
          <w:lang w:val="es-DO"/>
        </w:rPr>
        <w:t xml:space="preserve">sí </w:t>
      </w:r>
      <w:r>
        <w:rPr>
          <w:rFonts w:asciiTheme="minorHAnsi" w:hAnsiTheme="minorHAnsi"/>
          <w:color w:val="000000"/>
          <w:lang w:val="es-DO"/>
        </w:rPr>
        <w:t>t</w:t>
      </w:r>
      <w:r w:rsidRPr="008E4174">
        <w:rPr>
          <w:rFonts w:asciiTheme="minorHAnsi" w:hAnsiTheme="minorHAnsi"/>
          <w:color w:val="000000"/>
          <w:lang w:val="es-DO"/>
        </w:rPr>
        <w:t>ambién</w:t>
      </w:r>
      <w:r>
        <w:rPr>
          <w:rFonts w:asciiTheme="minorHAnsi" w:hAnsiTheme="minorHAnsi"/>
          <w:color w:val="000000"/>
          <w:lang w:val="es-DO"/>
        </w:rPr>
        <w:t>,</w:t>
      </w:r>
      <w:r w:rsidRPr="008E4174">
        <w:rPr>
          <w:rFonts w:asciiTheme="minorHAnsi" w:hAnsiTheme="minorHAnsi"/>
          <w:color w:val="000000"/>
          <w:lang w:val="es-DO"/>
        </w:rPr>
        <w:t xml:space="preserve"> el nivel de conformidad de la distribución territorial de estos fondos con las disposiciones aplicables de la Ley No. 91-05 que crea el Consejo Provincial para la Administración de los Fondos Mineros de la Provincia Sánchez Ramírez (</w:t>
      </w:r>
      <w:proofErr w:type="spellStart"/>
      <w:r w:rsidRPr="008E4174">
        <w:rPr>
          <w:rFonts w:asciiTheme="minorHAnsi" w:hAnsiTheme="minorHAnsi"/>
          <w:color w:val="000000"/>
          <w:lang w:val="es-DO"/>
        </w:rPr>
        <w:t>FOMISAR</w:t>
      </w:r>
      <w:proofErr w:type="spellEnd"/>
      <w:r w:rsidRPr="008E4174">
        <w:rPr>
          <w:rFonts w:asciiTheme="minorHAnsi" w:hAnsiTheme="minorHAnsi"/>
          <w:color w:val="000000"/>
          <w:lang w:val="es-DO"/>
        </w:rPr>
        <w:t>).</w:t>
      </w:r>
    </w:p>
    <w:p w14:paraId="6D29CDD8" w14:textId="77777777" w:rsidR="00AA6B10" w:rsidRPr="008E2D67" w:rsidRDefault="00AA6B10" w:rsidP="00AA6B10">
      <w:pPr>
        <w:spacing w:line="259" w:lineRule="auto"/>
        <w:jc w:val="both"/>
        <w:rPr>
          <w:rFonts w:ascii="Calibri" w:hAnsi="Calibri"/>
          <w:lang w:val="es-DO"/>
        </w:rPr>
      </w:pPr>
    </w:p>
    <w:p w14:paraId="77CADBB7" w14:textId="77777777" w:rsidR="00AA6B10" w:rsidRPr="008E2D67" w:rsidRDefault="00AA6B10" w:rsidP="00AA6B10">
      <w:pPr>
        <w:keepNext/>
        <w:keepLines/>
        <w:numPr>
          <w:ilvl w:val="0"/>
          <w:numId w:val="1"/>
        </w:numPr>
        <w:spacing w:before="240" w:after="160" w:line="259" w:lineRule="auto"/>
        <w:jc w:val="both"/>
        <w:outlineLvl w:val="0"/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</w:pPr>
      <w:bookmarkStart w:id="5" w:name="_Toc31065196"/>
      <w:bookmarkStart w:id="6" w:name="_Toc89157424"/>
      <w:r w:rsidRPr="008E2D67"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>Transferencia de Fondos por parte del Gobierno Central al Consejo Provincial para la Administración de los Fondos Mineros Provincia Sánchez Ramírez (</w:t>
      </w:r>
      <w:proofErr w:type="spellStart"/>
      <w:r w:rsidRPr="008E2D67"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>FOMISAR</w:t>
      </w:r>
      <w:proofErr w:type="spellEnd"/>
      <w:r w:rsidRPr="008E2D67"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 xml:space="preserve">) en </w:t>
      </w:r>
      <w:r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>2021</w:t>
      </w:r>
      <w:r w:rsidRPr="008E2D67"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 xml:space="preserve"> y 20</w:t>
      </w:r>
      <w:bookmarkEnd w:id="5"/>
      <w:r w:rsidRPr="008E2D67"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>2</w:t>
      </w:r>
      <w:bookmarkEnd w:id="6"/>
      <w:r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>2</w:t>
      </w:r>
    </w:p>
    <w:p w14:paraId="3C5BEC40" w14:textId="77777777" w:rsidR="00AA6B10" w:rsidRPr="008E2D67" w:rsidRDefault="00AA6B10" w:rsidP="00AA6B10">
      <w:pPr>
        <w:jc w:val="both"/>
        <w:rPr>
          <w:lang w:val="es-DO"/>
        </w:rPr>
      </w:pPr>
    </w:p>
    <w:p w14:paraId="2D8314F7" w14:textId="77777777" w:rsidR="00AA6B10" w:rsidRPr="008E2D67" w:rsidRDefault="00AA6B10" w:rsidP="00AA6B10">
      <w:pPr>
        <w:keepNext/>
        <w:keepLines/>
        <w:spacing w:before="40"/>
        <w:outlineLvl w:val="1"/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</w:pPr>
      <w:bookmarkStart w:id="7" w:name="_Toc31065197"/>
      <w:bookmarkStart w:id="8" w:name="_Toc89157425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1.1 Contexto</w:t>
      </w:r>
      <w:bookmarkEnd w:id="7"/>
      <w:bookmarkEnd w:id="8"/>
      <w:r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 </w:t>
      </w:r>
    </w:p>
    <w:p w14:paraId="18C806AC" w14:textId="77777777" w:rsidR="00AA6B10" w:rsidRPr="008E2D67" w:rsidRDefault="00AA6B10" w:rsidP="00AA6B10">
      <w:pPr>
        <w:jc w:val="both"/>
        <w:rPr>
          <w:rFonts w:ascii="Calibri" w:hAnsi="Calibri"/>
          <w:b/>
          <w:color w:val="000000"/>
          <w:u w:val="single"/>
          <w:lang w:val="es-DO"/>
        </w:rPr>
      </w:pPr>
    </w:p>
    <w:p w14:paraId="4CB4BE23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t xml:space="preserve">La Ley No. 64-00, sobre Medio Ambiente y Recursos Naturales, establece en su Artículo No. 117, Párrafo II, que cuando se trate de recursos naturales no renovables, el o los municipios donde esté ubicada dicha explotación, recibirán el cinco por ciento (5%) de los beneficios netos generados. </w:t>
      </w:r>
    </w:p>
    <w:p w14:paraId="4CEF33C2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0FA17AA9" w14:textId="5C8AEB34" w:rsidR="00AA6B10" w:rsidRDefault="00AA6B10" w:rsidP="00AA6B10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t>Por su parte, la Enmienda de fecha 10 de junio de 2009 al Contrato Especial de Arrendamiento de Derechos Mineros (</w:t>
      </w:r>
      <w:proofErr w:type="spellStart"/>
      <w:r w:rsidRPr="008E2D67">
        <w:rPr>
          <w:rFonts w:ascii="Calibri" w:hAnsi="Calibri"/>
          <w:color w:val="000000"/>
          <w:lang w:val="es-DO"/>
        </w:rPr>
        <w:t>CEAM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), suscrito entre el Estado dominicano, el Banco Central de </w:t>
      </w:r>
      <w:r w:rsidR="00783C1D">
        <w:rPr>
          <w:rFonts w:ascii="Calibri" w:hAnsi="Calibri"/>
          <w:color w:val="000000"/>
          <w:lang w:val="es-DO"/>
        </w:rPr>
        <w:t xml:space="preserve">la </w:t>
      </w:r>
      <w:r w:rsidRPr="008E2D67">
        <w:rPr>
          <w:rFonts w:ascii="Calibri" w:hAnsi="Calibri"/>
          <w:color w:val="000000"/>
          <w:lang w:val="es-DO"/>
        </w:rPr>
        <w:t xml:space="preserve">República Dominicana, Rosario Dominicano, S.A., y Placer Dome Dominicana </w:t>
      </w:r>
      <w:proofErr w:type="spellStart"/>
      <w:r w:rsidRPr="008E2D67">
        <w:rPr>
          <w:rFonts w:ascii="Calibri" w:hAnsi="Calibri"/>
          <w:color w:val="000000"/>
          <w:lang w:val="es-DO"/>
        </w:rPr>
        <w:t>Corporation</w:t>
      </w:r>
      <w:proofErr w:type="spellEnd"/>
      <w:r w:rsidRPr="008E2D67">
        <w:rPr>
          <w:rFonts w:ascii="Calibri" w:hAnsi="Calibri"/>
          <w:color w:val="000000"/>
          <w:lang w:val="es-DO"/>
        </w:rPr>
        <w:t>, en fecha 25 de marzo de 2002, el cual otorga los derechos de explotación de la Reserva Fiscal Montenegro en la Provincia Sánchez Ramírez,</w:t>
      </w:r>
      <w:r>
        <w:rPr>
          <w:rFonts w:ascii="Calibri" w:hAnsi="Calibri"/>
          <w:color w:val="000000"/>
          <w:lang w:val="es-DO"/>
        </w:rPr>
        <w:t xml:space="preserve"> y</w:t>
      </w:r>
      <w:r w:rsidRPr="008E2D67">
        <w:rPr>
          <w:rFonts w:ascii="Calibri" w:hAnsi="Calibri"/>
          <w:color w:val="000000"/>
          <w:lang w:val="es-DO"/>
        </w:rPr>
        <w:t xml:space="preserve"> cuya titularidad </w:t>
      </w:r>
      <w:r>
        <w:rPr>
          <w:rFonts w:ascii="Calibri" w:hAnsi="Calibri"/>
          <w:color w:val="000000"/>
          <w:lang w:val="es-DO"/>
        </w:rPr>
        <w:t>es</w:t>
      </w:r>
      <w:r w:rsidRPr="008E2D67">
        <w:rPr>
          <w:rFonts w:ascii="Calibri" w:hAnsi="Calibri"/>
          <w:color w:val="000000"/>
          <w:lang w:val="es-DO"/>
        </w:rPr>
        <w:t xml:space="preserve"> ostentada desde 2009 por la sociedad comercial Pueblo Viejo Dominicana </w:t>
      </w:r>
      <w:proofErr w:type="spellStart"/>
      <w:r w:rsidRPr="008E2D67">
        <w:rPr>
          <w:rFonts w:ascii="Calibri" w:hAnsi="Calibri"/>
          <w:color w:val="000000"/>
          <w:lang w:val="es-DO"/>
        </w:rPr>
        <w:t>Corporation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 (</w:t>
      </w:r>
      <w:proofErr w:type="spellStart"/>
      <w:r w:rsidRPr="008E2D67">
        <w:rPr>
          <w:rFonts w:ascii="Calibri" w:hAnsi="Calibri"/>
          <w:color w:val="000000"/>
          <w:lang w:val="es-DO"/>
        </w:rPr>
        <w:t>PVDC</w:t>
      </w:r>
      <w:proofErr w:type="spellEnd"/>
      <w:r w:rsidRPr="008E2D67">
        <w:rPr>
          <w:rFonts w:ascii="Calibri" w:hAnsi="Calibri"/>
          <w:color w:val="000000"/>
          <w:lang w:val="es-DO"/>
        </w:rPr>
        <w:t>); dispone en su Artículo No. 9, Numeral 9.2, Literal g, lo siguiente:</w:t>
      </w:r>
    </w:p>
    <w:p w14:paraId="40EB6F6D" w14:textId="77777777" w:rsidR="00AA6B10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1B8DC548" w14:textId="77777777" w:rsidR="00D457C6" w:rsidRDefault="00D457C6" w:rsidP="00AA6B10">
      <w:pPr>
        <w:jc w:val="both"/>
        <w:rPr>
          <w:rFonts w:ascii="Calibri" w:hAnsi="Calibri"/>
          <w:color w:val="000000"/>
          <w:lang w:val="es-DO"/>
        </w:rPr>
      </w:pPr>
    </w:p>
    <w:p w14:paraId="231E6DC2" w14:textId="2DD016AA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lastRenderedPageBreak/>
        <w:t>“</w:t>
      </w:r>
      <w:r w:rsidRPr="008E2D67">
        <w:rPr>
          <w:rFonts w:ascii="Calibri" w:hAnsi="Calibri"/>
          <w:i/>
          <w:color w:val="000000"/>
          <w:lang w:val="es-DO"/>
        </w:rPr>
        <w:t>Los municipios donde est</w:t>
      </w:r>
      <w:r w:rsidR="003B0AD3">
        <w:rPr>
          <w:rFonts w:ascii="Calibri" w:hAnsi="Calibri"/>
          <w:i/>
          <w:color w:val="000000"/>
          <w:lang w:val="es-DO"/>
        </w:rPr>
        <w:t>á</w:t>
      </w:r>
      <w:r w:rsidRPr="008E2D67">
        <w:rPr>
          <w:rFonts w:ascii="Calibri" w:hAnsi="Calibri"/>
          <w:i/>
          <w:color w:val="000000"/>
          <w:lang w:val="es-DO"/>
        </w:rPr>
        <w:t xml:space="preserve"> ubicada la Mina recibirán el cinco por ciento (5%) de los beneficios netos generados conforme a lo establecido en la Ley Medioambiental. El Estado, como arrendador de la Reserva Fiscal, asumirá frente a los municipios donde se ubica la Mina, el pago de dicha contribución. El Estado podrá solicitar a </w:t>
      </w:r>
      <w:proofErr w:type="spellStart"/>
      <w:r w:rsidRPr="008E2D67">
        <w:rPr>
          <w:rFonts w:ascii="Calibri" w:hAnsi="Calibri"/>
          <w:i/>
          <w:color w:val="000000"/>
          <w:lang w:val="es-DO"/>
        </w:rPr>
        <w:t>PVDC</w:t>
      </w:r>
      <w:proofErr w:type="spellEnd"/>
      <w:r w:rsidRPr="008E2D67">
        <w:rPr>
          <w:rFonts w:ascii="Calibri" w:hAnsi="Calibri"/>
          <w:i/>
          <w:color w:val="000000"/>
          <w:lang w:val="es-DO"/>
        </w:rPr>
        <w:t xml:space="preserve"> que realice dichos pagos en su nombre y que los deduzca de los pagos que deba realizar a El Estado bajo este Acuerdo.”</w:t>
      </w:r>
    </w:p>
    <w:p w14:paraId="6165780D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0CBB7CFE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t>En 2005, mediante la Ley No. 91-05, se crea el Consejo Provincial para la Administración de los Fondos Mineros de la Provincia Sánchez Ramírez (</w:t>
      </w:r>
      <w:proofErr w:type="spellStart"/>
      <w:r w:rsidRPr="008E2D67">
        <w:rPr>
          <w:rFonts w:ascii="Calibri" w:hAnsi="Calibri"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color w:val="000000"/>
          <w:lang w:val="es-DO"/>
        </w:rPr>
        <w:t>), con la finalidad de administrar los fondos que recibir</w:t>
      </w:r>
      <w:r>
        <w:rPr>
          <w:rFonts w:ascii="Calibri" w:hAnsi="Calibri"/>
          <w:color w:val="000000"/>
          <w:lang w:val="es-DO"/>
        </w:rPr>
        <w:t>ía</w:t>
      </w:r>
      <w:r w:rsidRPr="008E2D67">
        <w:rPr>
          <w:rFonts w:ascii="Calibri" w:hAnsi="Calibri"/>
          <w:color w:val="000000"/>
          <w:lang w:val="es-DO"/>
        </w:rPr>
        <w:t xml:space="preserve"> la provincia en virtud de lo establecido en la Ley No. 64-00 y el </w:t>
      </w:r>
      <w:proofErr w:type="spellStart"/>
      <w:r w:rsidRPr="008E2D67">
        <w:rPr>
          <w:rFonts w:ascii="Calibri" w:hAnsi="Calibri"/>
          <w:color w:val="000000"/>
          <w:lang w:val="es-DO"/>
        </w:rPr>
        <w:t>CEAM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, </w:t>
      </w:r>
      <w:r>
        <w:rPr>
          <w:rFonts w:ascii="Calibri" w:hAnsi="Calibri"/>
          <w:color w:val="000000"/>
          <w:lang w:val="es-DO"/>
        </w:rPr>
        <w:t>además de</w:t>
      </w:r>
      <w:r w:rsidRPr="008E2D67">
        <w:rPr>
          <w:rFonts w:ascii="Calibri" w:hAnsi="Calibri"/>
          <w:color w:val="000000"/>
          <w:lang w:val="es-DO"/>
        </w:rPr>
        <w:t xml:space="preserve"> velar por la correcta aplicación de la Ley que lo crea.</w:t>
      </w:r>
    </w:p>
    <w:p w14:paraId="0FB6CFD4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734FAA4A" w14:textId="0D8521DA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>A partir</w:t>
      </w:r>
      <w:r w:rsidRPr="008E2D67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 xml:space="preserve">de las </w:t>
      </w:r>
      <w:r w:rsidRPr="008E2D67">
        <w:rPr>
          <w:rFonts w:ascii="Calibri" w:hAnsi="Calibri"/>
          <w:color w:val="000000"/>
          <w:lang w:val="es-DO"/>
        </w:rPr>
        <w:t xml:space="preserve">disposiciones </w:t>
      </w:r>
      <w:r>
        <w:rPr>
          <w:rFonts w:ascii="Calibri" w:hAnsi="Calibri"/>
          <w:color w:val="000000"/>
          <w:lang w:val="es-DO"/>
        </w:rPr>
        <w:t xml:space="preserve">del </w:t>
      </w:r>
      <w:proofErr w:type="spellStart"/>
      <w:r>
        <w:rPr>
          <w:rFonts w:ascii="Calibri" w:hAnsi="Calibri"/>
          <w:color w:val="000000"/>
          <w:lang w:val="es-DO"/>
        </w:rPr>
        <w:t>CEAM</w:t>
      </w:r>
      <w:proofErr w:type="spellEnd"/>
      <w:r>
        <w:rPr>
          <w:rFonts w:ascii="Calibri" w:hAnsi="Calibri"/>
          <w:color w:val="000000"/>
          <w:lang w:val="es-DO"/>
        </w:rPr>
        <w:t xml:space="preserve"> referidas anteriormente</w:t>
      </w:r>
      <w:r w:rsidRPr="008E2D67">
        <w:rPr>
          <w:rFonts w:ascii="Calibri" w:hAnsi="Calibri"/>
          <w:color w:val="000000"/>
          <w:lang w:val="es-DO"/>
        </w:rPr>
        <w:t xml:space="preserve">, queda establecida la responsabilidad del Estado Dominicano frente al Consejo Provincial de </w:t>
      </w:r>
      <w:proofErr w:type="spellStart"/>
      <w:r w:rsidRPr="008E2D67">
        <w:rPr>
          <w:rFonts w:ascii="Calibri" w:hAnsi="Calibri"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, en lo </w:t>
      </w:r>
      <w:r>
        <w:rPr>
          <w:rFonts w:ascii="Calibri" w:hAnsi="Calibri"/>
          <w:color w:val="000000"/>
          <w:lang w:val="es-DO"/>
        </w:rPr>
        <w:t>referente</w:t>
      </w:r>
      <w:r w:rsidRPr="008E2D67">
        <w:rPr>
          <w:rFonts w:ascii="Calibri" w:hAnsi="Calibri"/>
          <w:color w:val="000000"/>
          <w:lang w:val="es-DO"/>
        </w:rPr>
        <w:t xml:space="preserve"> a la transferencia del cinco por ciento (5%) de los beneficios netos generados por la operación minera de Pueblo Viejo Dominicana </w:t>
      </w:r>
      <w:proofErr w:type="spellStart"/>
      <w:r w:rsidRPr="008E2D67">
        <w:rPr>
          <w:rFonts w:ascii="Calibri" w:hAnsi="Calibri"/>
          <w:color w:val="000000"/>
          <w:lang w:val="es-DO"/>
        </w:rPr>
        <w:t>Corporation</w:t>
      </w:r>
      <w:proofErr w:type="spellEnd"/>
      <w:r w:rsidR="003B0AD3">
        <w:rPr>
          <w:rFonts w:ascii="Calibri" w:hAnsi="Calibri"/>
          <w:color w:val="000000"/>
          <w:lang w:val="es-DO"/>
        </w:rPr>
        <w:t xml:space="preserve"> (</w:t>
      </w:r>
      <w:proofErr w:type="spellStart"/>
      <w:r w:rsidR="003B0AD3">
        <w:rPr>
          <w:rFonts w:ascii="Calibri" w:hAnsi="Calibri"/>
          <w:color w:val="000000"/>
          <w:lang w:val="es-DO"/>
        </w:rPr>
        <w:t>PVDC</w:t>
      </w:r>
      <w:proofErr w:type="spellEnd"/>
      <w:r w:rsidR="003B0AD3">
        <w:rPr>
          <w:rFonts w:ascii="Calibri" w:hAnsi="Calibri"/>
          <w:color w:val="000000"/>
          <w:lang w:val="es-DO"/>
        </w:rPr>
        <w:t>)</w:t>
      </w:r>
      <w:r w:rsidRPr="008E2D67">
        <w:rPr>
          <w:rFonts w:ascii="Calibri" w:hAnsi="Calibri"/>
          <w:color w:val="000000"/>
          <w:lang w:val="es-DO"/>
        </w:rPr>
        <w:t xml:space="preserve">. </w:t>
      </w:r>
      <w:r>
        <w:rPr>
          <w:rFonts w:ascii="Calibri" w:hAnsi="Calibri"/>
          <w:color w:val="000000"/>
          <w:lang w:val="es-DO"/>
        </w:rPr>
        <w:t>Lo mismo con respecto a la opción</w:t>
      </w:r>
      <w:r w:rsidRPr="008E2D67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 xml:space="preserve">que tendrá el Estado de solicitar a </w:t>
      </w:r>
      <w:proofErr w:type="spellStart"/>
      <w:r w:rsidRPr="008E2D67">
        <w:rPr>
          <w:rFonts w:ascii="Calibri" w:hAnsi="Calibri"/>
          <w:color w:val="000000"/>
          <w:lang w:val="es-DO"/>
        </w:rPr>
        <w:t>PVDC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>que realice</w:t>
      </w:r>
      <w:r w:rsidRPr="008E2D67">
        <w:rPr>
          <w:rFonts w:ascii="Calibri" w:hAnsi="Calibri"/>
          <w:color w:val="000000"/>
          <w:lang w:val="es-DO"/>
        </w:rPr>
        <w:t xml:space="preserve"> dicho pago en su nombre</w:t>
      </w:r>
      <w:r>
        <w:rPr>
          <w:rFonts w:ascii="Calibri" w:hAnsi="Calibri"/>
          <w:color w:val="000000"/>
          <w:lang w:val="es-DO"/>
        </w:rPr>
        <w:t>,</w:t>
      </w:r>
      <w:r w:rsidRPr="008E2D67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 xml:space="preserve">deduciéndolo </w:t>
      </w:r>
      <w:r w:rsidRPr="008E2D67">
        <w:rPr>
          <w:rFonts w:ascii="Calibri" w:hAnsi="Calibri"/>
          <w:color w:val="000000"/>
          <w:lang w:val="es-DO"/>
        </w:rPr>
        <w:t xml:space="preserve">de los pagos que deberá realizar </w:t>
      </w:r>
      <w:r>
        <w:rPr>
          <w:rFonts w:ascii="Calibri" w:hAnsi="Calibri"/>
          <w:color w:val="000000"/>
          <w:lang w:val="es-DO"/>
        </w:rPr>
        <w:t>la empresa al</w:t>
      </w:r>
      <w:r w:rsidRPr="008E2D67">
        <w:rPr>
          <w:rFonts w:ascii="Calibri" w:hAnsi="Calibri"/>
          <w:color w:val="000000"/>
          <w:lang w:val="es-DO"/>
        </w:rPr>
        <w:t xml:space="preserve"> Estado </w:t>
      </w:r>
      <w:r>
        <w:rPr>
          <w:rFonts w:ascii="Calibri" w:hAnsi="Calibri"/>
          <w:color w:val="000000"/>
          <w:lang w:val="es-DO"/>
        </w:rPr>
        <w:t xml:space="preserve">dominicano </w:t>
      </w:r>
      <w:r w:rsidRPr="008E2D67">
        <w:rPr>
          <w:rFonts w:ascii="Calibri" w:hAnsi="Calibri"/>
          <w:color w:val="000000"/>
          <w:lang w:val="es-DO"/>
        </w:rPr>
        <w:t>en virtud de dicho Acuerdo.</w:t>
      </w:r>
    </w:p>
    <w:p w14:paraId="5244D484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35999AB4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t xml:space="preserve">En </w:t>
      </w:r>
      <w:r>
        <w:rPr>
          <w:rFonts w:ascii="Calibri" w:hAnsi="Calibri"/>
          <w:color w:val="000000"/>
          <w:lang w:val="es-DO"/>
        </w:rPr>
        <w:t>ese sentido</w:t>
      </w:r>
      <w:r w:rsidRPr="008E2D67">
        <w:rPr>
          <w:rFonts w:ascii="Calibri" w:hAnsi="Calibri"/>
          <w:color w:val="000000"/>
          <w:lang w:val="es-DO"/>
        </w:rPr>
        <w:t xml:space="preserve">, </w:t>
      </w:r>
      <w:r>
        <w:rPr>
          <w:rFonts w:ascii="Calibri" w:hAnsi="Calibri"/>
          <w:color w:val="000000"/>
          <w:lang w:val="es-DO"/>
        </w:rPr>
        <w:t>es preciso destacar que</w:t>
      </w:r>
      <w:r w:rsidRPr="008E2D67">
        <w:rPr>
          <w:rFonts w:ascii="Calibri" w:hAnsi="Calibri"/>
          <w:color w:val="000000"/>
          <w:lang w:val="es-DO"/>
        </w:rPr>
        <w:t xml:space="preserve"> el Ministerio de Hacienda (</w:t>
      </w:r>
      <w:proofErr w:type="spellStart"/>
      <w:r w:rsidRPr="008E2D67">
        <w:rPr>
          <w:rFonts w:ascii="Calibri" w:hAnsi="Calibri"/>
          <w:color w:val="000000"/>
          <w:lang w:val="es-DO"/>
        </w:rPr>
        <w:t>MH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) notificó a la Comisión Nacional </w:t>
      </w:r>
      <w:proofErr w:type="spellStart"/>
      <w:r w:rsidRPr="008E2D67">
        <w:rPr>
          <w:rFonts w:ascii="Calibri" w:hAnsi="Calibri"/>
          <w:color w:val="000000"/>
          <w:lang w:val="es-DO"/>
        </w:rPr>
        <w:t>EITI</w:t>
      </w:r>
      <w:proofErr w:type="spellEnd"/>
      <w:r w:rsidRPr="008E2D67">
        <w:rPr>
          <w:rFonts w:ascii="Calibri" w:hAnsi="Calibri"/>
          <w:color w:val="000000"/>
          <w:lang w:val="es-DO"/>
        </w:rPr>
        <w:t>-RD, que el Impuesto Sobre la Renta (ISR) constituye el flujo de ingreso recaudado que más se aproxima a los beneficios netos referidos en el Artículo No. 117, Párrafo II de la Ley General de Medio Ambiente y Recursos Naturales.</w:t>
      </w:r>
    </w:p>
    <w:p w14:paraId="60D0C18E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439E6071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>En virtud de lo</w:t>
      </w:r>
      <w:r w:rsidRPr="008E2D67">
        <w:rPr>
          <w:rFonts w:ascii="Calibri" w:hAnsi="Calibri"/>
          <w:color w:val="000000"/>
          <w:lang w:val="es-DO"/>
        </w:rPr>
        <w:t xml:space="preserve"> señalado </w:t>
      </w:r>
      <w:r>
        <w:rPr>
          <w:rFonts w:ascii="Calibri" w:hAnsi="Calibri"/>
          <w:color w:val="000000"/>
          <w:lang w:val="es-DO"/>
        </w:rPr>
        <w:t>en los párrafos precedentes</w:t>
      </w:r>
      <w:r w:rsidRPr="008E2D67">
        <w:rPr>
          <w:rFonts w:ascii="Calibri" w:hAnsi="Calibri"/>
          <w:color w:val="000000"/>
          <w:lang w:val="es-DO"/>
        </w:rPr>
        <w:t>, en el siguiente acápite se establece una comparación entre las transferencias realizadas por el Gobierno Central, a través del Ministerio de Energía y Minas (</w:t>
      </w:r>
      <w:proofErr w:type="spellStart"/>
      <w:r w:rsidRPr="008E2D67">
        <w:rPr>
          <w:rFonts w:ascii="Calibri" w:hAnsi="Calibri"/>
          <w:color w:val="000000"/>
          <w:lang w:val="es-DO"/>
        </w:rPr>
        <w:t>MEM</w:t>
      </w:r>
      <w:proofErr w:type="spellEnd"/>
      <w:r w:rsidRPr="008E2D67">
        <w:rPr>
          <w:rFonts w:ascii="Calibri" w:hAnsi="Calibri"/>
          <w:color w:val="000000"/>
          <w:lang w:val="es-DO"/>
        </w:rPr>
        <w:t>), al Consejo Provincial para la Administración de los Fondos Mineros de la Provincia Sánchez Ramírez (</w:t>
      </w:r>
      <w:proofErr w:type="spellStart"/>
      <w:r w:rsidRPr="008E2D67">
        <w:rPr>
          <w:rFonts w:ascii="Calibri" w:hAnsi="Calibri"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), y </w:t>
      </w:r>
      <w:r>
        <w:rPr>
          <w:rFonts w:ascii="Calibri" w:hAnsi="Calibri"/>
          <w:color w:val="000000"/>
          <w:lang w:val="es-DO"/>
        </w:rPr>
        <w:t>lo que constituye el</w:t>
      </w:r>
      <w:r w:rsidRPr="008E2D67">
        <w:rPr>
          <w:rFonts w:ascii="Calibri" w:hAnsi="Calibri"/>
          <w:color w:val="000000"/>
          <w:lang w:val="es-DO"/>
        </w:rPr>
        <w:t xml:space="preserve"> monto equivalente al 5% del Impuesto Sobre la Renta pagado por </w:t>
      </w:r>
      <w:proofErr w:type="spellStart"/>
      <w:r w:rsidRPr="008E2D67">
        <w:rPr>
          <w:rFonts w:ascii="Calibri" w:hAnsi="Calibri"/>
          <w:color w:val="000000"/>
          <w:lang w:val="es-DO"/>
        </w:rPr>
        <w:t>PVDC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 en </w:t>
      </w:r>
      <w:r>
        <w:rPr>
          <w:rFonts w:ascii="Calibri" w:hAnsi="Calibri"/>
          <w:color w:val="000000"/>
          <w:lang w:val="es-DO"/>
        </w:rPr>
        <w:t>2021</w:t>
      </w:r>
      <w:r w:rsidRPr="008E2D67">
        <w:rPr>
          <w:rFonts w:ascii="Calibri" w:hAnsi="Calibri"/>
          <w:color w:val="000000"/>
          <w:lang w:val="es-DO"/>
        </w:rPr>
        <w:t xml:space="preserve"> y 202</w:t>
      </w:r>
      <w:r>
        <w:rPr>
          <w:rFonts w:ascii="Calibri" w:hAnsi="Calibri"/>
          <w:color w:val="000000"/>
          <w:lang w:val="es-DO"/>
        </w:rPr>
        <w:t>2</w:t>
      </w:r>
      <w:r w:rsidRPr="008E2D67">
        <w:rPr>
          <w:rFonts w:ascii="Calibri" w:hAnsi="Calibri"/>
          <w:color w:val="000000"/>
          <w:lang w:val="es-DO"/>
        </w:rPr>
        <w:t>.</w:t>
      </w:r>
    </w:p>
    <w:p w14:paraId="2DE6B28F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065CD3D2" w14:textId="77777777" w:rsidR="00AA6B10" w:rsidRPr="008E2D67" w:rsidRDefault="00AA6B10" w:rsidP="00AA6B10">
      <w:pPr>
        <w:keepNext/>
        <w:keepLines/>
        <w:spacing w:before="40"/>
        <w:outlineLvl w:val="1"/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</w:pPr>
      <w:bookmarkStart w:id="9" w:name="_Toc31065198"/>
      <w:bookmarkStart w:id="10" w:name="_Toc89157426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1.2 Comparativo entre las Transferencias del Gobierno Central y el 5% del ISR Pagado por </w:t>
      </w:r>
      <w:proofErr w:type="spellStart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PVDC</w:t>
      </w:r>
      <w:proofErr w:type="spellEnd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 en </w:t>
      </w:r>
      <w:r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2021</w:t>
      </w:r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 y </w:t>
      </w:r>
      <w:bookmarkEnd w:id="9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202</w:t>
      </w:r>
      <w:bookmarkEnd w:id="10"/>
      <w:r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</w:t>
      </w:r>
    </w:p>
    <w:p w14:paraId="3236D7C9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7D011235" w14:textId="6F2D8C22" w:rsidR="00AA6B10" w:rsidRPr="008C69A1" w:rsidRDefault="00AA6B10" w:rsidP="00AA6B10">
      <w:pPr>
        <w:jc w:val="both"/>
        <w:rPr>
          <w:rFonts w:ascii="Calibri" w:hAnsi="Calibri"/>
          <w:bCs/>
          <w:color w:val="000000"/>
          <w:lang w:val="es-DO"/>
        </w:rPr>
      </w:pPr>
      <w:r w:rsidRPr="00DA2D2D">
        <w:rPr>
          <w:rFonts w:ascii="Calibri" w:hAnsi="Calibri"/>
          <w:color w:val="000000"/>
          <w:lang w:val="es-DO"/>
        </w:rPr>
        <w:t xml:space="preserve">De acuerdo con las informaciones presentadas en el Informe Explicativo </w:t>
      </w:r>
      <w:r>
        <w:rPr>
          <w:rFonts w:ascii="Calibri" w:hAnsi="Calibri"/>
          <w:color w:val="000000"/>
          <w:lang w:val="es-DO"/>
        </w:rPr>
        <w:t xml:space="preserve">de la </w:t>
      </w:r>
      <w:r w:rsidRPr="00DA2D2D">
        <w:rPr>
          <w:rFonts w:ascii="Calibri" w:hAnsi="Calibri"/>
          <w:color w:val="000000"/>
          <w:lang w:val="es-DO"/>
        </w:rPr>
        <w:t xml:space="preserve">Ley de Presupuesto Año </w:t>
      </w:r>
      <w:r>
        <w:rPr>
          <w:rFonts w:ascii="Calibri" w:hAnsi="Calibri"/>
          <w:color w:val="000000"/>
          <w:lang w:val="es-DO"/>
        </w:rPr>
        <w:t>2023</w:t>
      </w:r>
      <w:r w:rsidRPr="00DA2D2D">
        <w:rPr>
          <w:rFonts w:ascii="Calibri" w:hAnsi="Calibri"/>
          <w:color w:val="000000"/>
          <w:lang w:val="es-DO"/>
        </w:rPr>
        <w:t xml:space="preserve">, los pagos de Impuesto Sobre la Renta (ISR) por parte de Pueblo Viejo Dominicana </w:t>
      </w:r>
      <w:proofErr w:type="spellStart"/>
      <w:r w:rsidRPr="00DA2D2D">
        <w:rPr>
          <w:rFonts w:ascii="Calibri" w:hAnsi="Calibri"/>
          <w:color w:val="000000"/>
          <w:lang w:val="es-DO"/>
        </w:rPr>
        <w:t>Corporation</w:t>
      </w:r>
      <w:proofErr w:type="spellEnd"/>
      <w:r w:rsidRPr="00DA2D2D">
        <w:rPr>
          <w:rFonts w:ascii="Calibri" w:hAnsi="Calibri"/>
          <w:color w:val="000000"/>
          <w:lang w:val="es-DO"/>
        </w:rPr>
        <w:t xml:space="preserve"> (</w:t>
      </w:r>
      <w:proofErr w:type="spellStart"/>
      <w:r w:rsidRPr="00DA2D2D">
        <w:rPr>
          <w:rFonts w:ascii="Calibri" w:hAnsi="Calibri"/>
          <w:color w:val="000000"/>
          <w:lang w:val="es-DO"/>
        </w:rPr>
        <w:t>PVDC</w:t>
      </w:r>
      <w:proofErr w:type="spellEnd"/>
      <w:r w:rsidRPr="00DA2D2D">
        <w:rPr>
          <w:rFonts w:ascii="Calibri" w:hAnsi="Calibri"/>
          <w:color w:val="000000"/>
          <w:lang w:val="es-DO"/>
        </w:rPr>
        <w:t>)</w:t>
      </w:r>
      <w:r>
        <w:rPr>
          <w:rFonts w:ascii="Calibri" w:hAnsi="Calibri"/>
          <w:color w:val="000000"/>
          <w:lang w:val="es-DO"/>
        </w:rPr>
        <w:t>,</w:t>
      </w:r>
      <w:r w:rsidRPr="00DA2D2D">
        <w:rPr>
          <w:rFonts w:ascii="Calibri" w:hAnsi="Calibri"/>
          <w:color w:val="000000"/>
          <w:lang w:val="es-DO"/>
        </w:rPr>
        <w:t xml:space="preserve"> durante los años </w:t>
      </w:r>
      <w:r>
        <w:rPr>
          <w:rFonts w:ascii="Calibri" w:hAnsi="Calibri"/>
          <w:color w:val="000000"/>
          <w:lang w:val="es-DO"/>
        </w:rPr>
        <w:t>2021</w:t>
      </w:r>
      <w:r w:rsidRPr="00DA2D2D">
        <w:rPr>
          <w:rFonts w:ascii="Calibri" w:hAnsi="Calibri"/>
          <w:color w:val="000000"/>
          <w:lang w:val="es-DO"/>
        </w:rPr>
        <w:t xml:space="preserve"> y </w:t>
      </w:r>
      <w:r>
        <w:rPr>
          <w:rFonts w:ascii="Calibri" w:hAnsi="Calibri"/>
          <w:color w:val="000000"/>
          <w:lang w:val="es-DO"/>
        </w:rPr>
        <w:t>2022</w:t>
      </w:r>
      <w:r w:rsidRPr="00DA2D2D">
        <w:rPr>
          <w:rFonts w:ascii="Calibri" w:hAnsi="Calibri"/>
          <w:color w:val="000000"/>
          <w:lang w:val="es-DO"/>
        </w:rPr>
        <w:t xml:space="preserve">, ascendieron a </w:t>
      </w:r>
      <w:r>
        <w:rPr>
          <w:rFonts w:ascii="Calibri" w:hAnsi="Calibri"/>
          <w:color w:val="000000"/>
          <w:lang w:val="es-DO"/>
        </w:rPr>
        <w:t xml:space="preserve">          </w:t>
      </w:r>
      <w:r w:rsidRPr="00DA2D2D">
        <w:rPr>
          <w:rFonts w:ascii="Calibri" w:hAnsi="Calibri"/>
          <w:color w:val="000000"/>
          <w:lang w:val="es-DO"/>
        </w:rPr>
        <w:t>RD$</w:t>
      </w:r>
      <w:r w:rsidRPr="00DA2D2D">
        <w:rPr>
          <w:rFonts w:ascii="Calibri" w:hAnsi="Calibri"/>
          <w:b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>12</w:t>
      </w:r>
      <w:r w:rsidRPr="00DA2D2D">
        <w:rPr>
          <w:rFonts w:ascii="Calibri" w:hAnsi="Calibri"/>
          <w:color w:val="000000"/>
          <w:lang w:val="es-DO"/>
        </w:rPr>
        <w:t>,</w:t>
      </w:r>
      <w:r>
        <w:rPr>
          <w:rFonts w:ascii="Calibri" w:hAnsi="Calibri"/>
          <w:color w:val="000000"/>
          <w:lang w:val="es-DO"/>
        </w:rPr>
        <w:t>550</w:t>
      </w:r>
      <w:r w:rsidRPr="00DA2D2D">
        <w:rPr>
          <w:rFonts w:ascii="Calibri" w:hAnsi="Calibri"/>
          <w:color w:val="000000"/>
          <w:lang w:val="es-DO"/>
        </w:rPr>
        <w:t>.2 millones</w:t>
      </w:r>
      <w:r w:rsidRPr="00DA2D2D">
        <w:rPr>
          <w:rFonts w:ascii="Calibri" w:hAnsi="Calibri"/>
          <w:b/>
          <w:color w:val="000000"/>
          <w:lang w:val="es-DO"/>
        </w:rPr>
        <w:t xml:space="preserve"> </w:t>
      </w:r>
      <w:r w:rsidRPr="00DA2D2D">
        <w:rPr>
          <w:rFonts w:ascii="Calibri" w:hAnsi="Calibri"/>
          <w:color w:val="000000"/>
          <w:lang w:val="es-DO"/>
        </w:rPr>
        <w:t xml:space="preserve">y RD$ </w:t>
      </w:r>
      <w:r>
        <w:rPr>
          <w:rFonts w:ascii="Calibri" w:hAnsi="Calibri"/>
          <w:color w:val="000000"/>
          <w:lang w:val="es-DO"/>
        </w:rPr>
        <w:t>7</w:t>
      </w:r>
      <w:r w:rsidRPr="00DA2D2D">
        <w:rPr>
          <w:rFonts w:ascii="Calibri" w:hAnsi="Calibri"/>
          <w:color w:val="000000"/>
          <w:lang w:val="es-DO"/>
        </w:rPr>
        <w:t>,</w:t>
      </w:r>
      <w:r>
        <w:rPr>
          <w:rFonts w:ascii="Calibri" w:hAnsi="Calibri"/>
          <w:color w:val="000000"/>
          <w:lang w:val="es-DO"/>
        </w:rPr>
        <w:t>854</w:t>
      </w:r>
      <w:r w:rsidRPr="00DA2D2D">
        <w:rPr>
          <w:rFonts w:ascii="Calibri" w:hAnsi="Calibri"/>
          <w:color w:val="000000"/>
          <w:lang w:val="es-DO"/>
        </w:rPr>
        <w:t>.</w:t>
      </w:r>
      <w:r>
        <w:rPr>
          <w:rFonts w:ascii="Calibri" w:hAnsi="Calibri"/>
          <w:color w:val="000000"/>
          <w:lang w:val="es-DO"/>
        </w:rPr>
        <w:t>6</w:t>
      </w:r>
      <w:r w:rsidRPr="00DA2D2D">
        <w:rPr>
          <w:rFonts w:ascii="Calibri" w:hAnsi="Calibri"/>
          <w:color w:val="000000"/>
          <w:lang w:val="es-DO"/>
        </w:rPr>
        <w:t xml:space="preserve"> millones,</w:t>
      </w:r>
      <w:r w:rsidRPr="00DA2D2D">
        <w:rPr>
          <w:rFonts w:ascii="Calibri" w:hAnsi="Calibri"/>
          <w:b/>
          <w:color w:val="000000"/>
          <w:lang w:val="es-DO"/>
        </w:rPr>
        <w:t xml:space="preserve"> </w:t>
      </w:r>
      <w:r w:rsidRPr="00DA2D2D">
        <w:rPr>
          <w:rFonts w:ascii="Calibri" w:hAnsi="Calibri"/>
          <w:color w:val="000000"/>
          <w:lang w:val="es-DO"/>
        </w:rPr>
        <w:t>respectivamente. A partir de estos valores se calcula el monto equivalente al 5% en</w:t>
      </w:r>
      <w:r w:rsidRPr="00DA2D2D">
        <w:rPr>
          <w:rFonts w:ascii="Calibri" w:hAnsi="Calibri"/>
          <w:bCs/>
          <w:color w:val="000000"/>
          <w:lang w:val="es-DO"/>
        </w:rPr>
        <w:t xml:space="preserve"> RD$ </w:t>
      </w:r>
      <w:r>
        <w:rPr>
          <w:rFonts w:ascii="Calibri" w:hAnsi="Calibri"/>
          <w:bCs/>
          <w:color w:val="000000"/>
          <w:lang w:val="es-DO"/>
        </w:rPr>
        <w:t>627</w:t>
      </w:r>
      <w:r w:rsidRPr="00DA2D2D">
        <w:rPr>
          <w:rFonts w:ascii="Calibri" w:hAnsi="Calibri"/>
          <w:bCs/>
          <w:color w:val="000000"/>
          <w:lang w:val="es-DO"/>
        </w:rPr>
        <w:t>.</w:t>
      </w:r>
      <w:r>
        <w:rPr>
          <w:rFonts w:ascii="Calibri" w:hAnsi="Calibri"/>
          <w:bCs/>
          <w:color w:val="000000"/>
          <w:lang w:val="es-DO"/>
        </w:rPr>
        <w:t>51</w:t>
      </w:r>
      <w:r w:rsidRPr="00DA2D2D">
        <w:rPr>
          <w:rFonts w:ascii="Calibri" w:hAnsi="Calibri"/>
          <w:bCs/>
          <w:color w:val="000000"/>
          <w:lang w:val="es-DO"/>
        </w:rPr>
        <w:t xml:space="preserve"> millones para </w:t>
      </w:r>
      <w:r>
        <w:rPr>
          <w:rFonts w:ascii="Calibri" w:hAnsi="Calibri"/>
          <w:bCs/>
          <w:color w:val="000000"/>
          <w:lang w:val="es-DO"/>
        </w:rPr>
        <w:t>2021</w:t>
      </w:r>
      <w:r w:rsidRPr="00DA2D2D">
        <w:rPr>
          <w:rFonts w:ascii="Calibri" w:hAnsi="Calibri"/>
          <w:bCs/>
          <w:color w:val="000000"/>
          <w:lang w:val="es-DO"/>
        </w:rPr>
        <w:t xml:space="preserve"> y RD$ </w:t>
      </w:r>
      <w:r>
        <w:rPr>
          <w:rFonts w:ascii="Calibri" w:hAnsi="Calibri"/>
          <w:bCs/>
          <w:color w:val="000000"/>
          <w:lang w:val="es-DO"/>
        </w:rPr>
        <w:t>392</w:t>
      </w:r>
      <w:r w:rsidRPr="00DA2D2D">
        <w:rPr>
          <w:rFonts w:ascii="Calibri" w:hAnsi="Calibri"/>
          <w:bCs/>
          <w:color w:val="000000"/>
          <w:lang w:val="es-DO"/>
        </w:rPr>
        <w:t>.</w:t>
      </w:r>
      <w:r>
        <w:rPr>
          <w:rFonts w:ascii="Calibri" w:hAnsi="Calibri"/>
          <w:bCs/>
          <w:color w:val="000000"/>
          <w:lang w:val="es-DO"/>
        </w:rPr>
        <w:t>73</w:t>
      </w:r>
      <w:r w:rsidRPr="00DA2D2D">
        <w:rPr>
          <w:rFonts w:ascii="Calibri" w:hAnsi="Calibri"/>
          <w:bCs/>
          <w:color w:val="000000"/>
          <w:lang w:val="es-DO"/>
        </w:rPr>
        <w:t xml:space="preserve"> millones para </w:t>
      </w:r>
      <w:r>
        <w:rPr>
          <w:rFonts w:ascii="Calibri" w:hAnsi="Calibri"/>
          <w:bCs/>
          <w:color w:val="000000"/>
          <w:lang w:val="es-DO"/>
        </w:rPr>
        <w:t>2022</w:t>
      </w:r>
      <w:r w:rsidRPr="00DA2D2D">
        <w:rPr>
          <w:rFonts w:ascii="Calibri" w:hAnsi="Calibri"/>
          <w:bCs/>
          <w:color w:val="000000"/>
          <w:lang w:val="es-DO"/>
        </w:rPr>
        <w:t>.</w:t>
      </w:r>
    </w:p>
    <w:p w14:paraId="2D247371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6A6D7703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047B9A71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14E08731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04AF27BD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4E943555" w14:textId="77777777" w:rsidR="00AA6B10" w:rsidRPr="00273025" w:rsidRDefault="00AA6B10" w:rsidP="00AA6B10">
      <w:pPr>
        <w:jc w:val="center"/>
        <w:rPr>
          <w:rFonts w:ascii="Calibri" w:hAnsi="Calibri"/>
          <w:b/>
          <w:lang w:val="es-DO"/>
        </w:rPr>
      </w:pPr>
      <w:r w:rsidRPr="00273025">
        <w:rPr>
          <w:rFonts w:ascii="Calibri" w:hAnsi="Calibri"/>
          <w:b/>
          <w:lang w:val="es-DO"/>
        </w:rPr>
        <w:t>Tabla No. 1.2.1</w:t>
      </w:r>
    </w:p>
    <w:p w14:paraId="26CED625" w14:textId="77777777" w:rsidR="00AA6B10" w:rsidRPr="00273025" w:rsidRDefault="00AA6B10" w:rsidP="00AA6B10">
      <w:pPr>
        <w:jc w:val="center"/>
        <w:rPr>
          <w:rFonts w:ascii="Calibri" w:hAnsi="Calibri"/>
          <w:b/>
          <w:lang w:val="es-DO"/>
        </w:rPr>
      </w:pPr>
      <w:r w:rsidRPr="00273025">
        <w:rPr>
          <w:rFonts w:ascii="Calibri" w:hAnsi="Calibri"/>
          <w:b/>
          <w:lang w:val="es-DO"/>
        </w:rPr>
        <w:t xml:space="preserve">Impuesto Sobre la Renta Pagado por </w:t>
      </w:r>
      <w:proofErr w:type="spellStart"/>
      <w:r w:rsidRPr="00273025">
        <w:rPr>
          <w:rFonts w:ascii="Calibri" w:hAnsi="Calibri"/>
          <w:b/>
          <w:lang w:val="es-DO"/>
        </w:rPr>
        <w:t>PVDC</w:t>
      </w:r>
      <w:proofErr w:type="spellEnd"/>
      <w:r w:rsidRPr="00273025">
        <w:rPr>
          <w:rFonts w:ascii="Calibri" w:hAnsi="Calibri"/>
          <w:b/>
          <w:lang w:val="es-DO"/>
        </w:rPr>
        <w:t xml:space="preserve"> en </w:t>
      </w:r>
      <w:r>
        <w:rPr>
          <w:rFonts w:ascii="Calibri" w:hAnsi="Calibri"/>
          <w:b/>
          <w:lang w:val="es-DO"/>
        </w:rPr>
        <w:t>2021</w:t>
      </w:r>
      <w:r w:rsidRPr="00273025">
        <w:rPr>
          <w:rFonts w:ascii="Calibri" w:hAnsi="Calibri"/>
          <w:b/>
          <w:lang w:val="es-DO"/>
        </w:rPr>
        <w:t xml:space="preserve"> y 202</w:t>
      </w:r>
      <w:r>
        <w:rPr>
          <w:rFonts w:ascii="Calibri" w:hAnsi="Calibri"/>
          <w:b/>
          <w:lang w:val="es-DO"/>
        </w:rPr>
        <w:t>2</w:t>
      </w:r>
    </w:p>
    <w:p w14:paraId="67FA223B" w14:textId="77777777" w:rsidR="00AA6B10" w:rsidRDefault="00AA6B10" w:rsidP="00AA6B10">
      <w:pPr>
        <w:jc w:val="center"/>
        <w:rPr>
          <w:rFonts w:ascii="Calibri" w:hAnsi="Calibri"/>
          <w:b/>
          <w:lang w:val="es-DO"/>
        </w:rPr>
      </w:pPr>
      <w:r w:rsidRPr="00273025">
        <w:rPr>
          <w:rFonts w:ascii="Calibri" w:hAnsi="Calibri"/>
          <w:b/>
          <w:lang w:val="es-DO"/>
        </w:rPr>
        <w:t>En RD$</w:t>
      </w:r>
    </w:p>
    <w:p w14:paraId="020014A5" w14:textId="77777777" w:rsidR="00AA6B10" w:rsidRPr="00273025" w:rsidRDefault="00AA6B10" w:rsidP="00AA6B10">
      <w:pPr>
        <w:jc w:val="center"/>
        <w:rPr>
          <w:rFonts w:ascii="Calibri" w:hAnsi="Calibri"/>
          <w:b/>
          <w:lang w:val="es-DO"/>
        </w:rPr>
      </w:pPr>
      <w:r w:rsidRPr="001941FC">
        <w:rPr>
          <w:noProof/>
        </w:rPr>
        <w:drawing>
          <wp:inline distT="0" distB="0" distL="0" distR="0" wp14:anchorId="65605A42" wp14:editId="3C737D74">
            <wp:extent cx="3771900" cy="1771650"/>
            <wp:effectExtent l="0" t="0" r="0" b="0"/>
            <wp:docPr id="206229658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49DEF" w14:textId="77777777" w:rsidR="00AA6B10" w:rsidRPr="008E2D67" w:rsidRDefault="00AA6B10" w:rsidP="00AA6B10">
      <w:pPr>
        <w:jc w:val="center"/>
        <w:rPr>
          <w:rFonts w:ascii="Calibri" w:hAnsi="Calibri"/>
          <w:b/>
          <w:lang w:val="es-DO"/>
        </w:rPr>
      </w:pPr>
    </w:p>
    <w:p w14:paraId="0FCBC92C" w14:textId="77777777" w:rsidR="00AA6B10" w:rsidRPr="008E2D67" w:rsidRDefault="00AA6B10" w:rsidP="00AA6B10">
      <w:pPr>
        <w:jc w:val="center"/>
        <w:rPr>
          <w:rFonts w:ascii="Calibri" w:hAnsi="Calibri"/>
          <w:b/>
          <w:lang w:val="es-DO"/>
        </w:rPr>
      </w:pPr>
    </w:p>
    <w:p w14:paraId="17F16452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t xml:space="preserve">Por su parte, y según asignación presupuestaria institucional correspondiente al Programa de Administración de Contribuciones Especiales, el Ministerio de Energía y Minas transfirió al Consejo Provincial de </w:t>
      </w:r>
      <w:proofErr w:type="spellStart"/>
      <w:r w:rsidRPr="008E2D67">
        <w:rPr>
          <w:rFonts w:ascii="Calibri" w:hAnsi="Calibri"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 la suma de RD$ 200.00 millones en </w:t>
      </w:r>
      <w:r>
        <w:rPr>
          <w:rFonts w:ascii="Calibri" w:hAnsi="Calibri"/>
          <w:color w:val="000000"/>
          <w:lang w:val="es-DO"/>
        </w:rPr>
        <w:t>2021</w:t>
      </w:r>
      <w:r w:rsidRPr="008E2D67">
        <w:rPr>
          <w:rFonts w:ascii="Calibri" w:hAnsi="Calibri"/>
          <w:color w:val="000000"/>
          <w:lang w:val="es-DO"/>
        </w:rPr>
        <w:t xml:space="preserve">, y otros              RD$ </w:t>
      </w:r>
      <w:r>
        <w:rPr>
          <w:rFonts w:ascii="Calibri" w:hAnsi="Calibri"/>
          <w:color w:val="000000"/>
          <w:lang w:val="es-DO"/>
        </w:rPr>
        <w:t>300</w:t>
      </w:r>
      <w:r w:rsidRPr="008E2D67">
        <w:rPr>
          <w:rFonts w:ascii="Calibri" w:hAnsi="Calibri"/>
          <w:color w:val="000000"/>
          <w:lang w:val="es-DO"/>
        </w:rPr>
        <w:t xml:space="preserve">.00 millones en </w:t>
      </w:r>
      <w:r>
        <w:rPr>
          <w:rFonts w:ascii="Calibri" w:hAnsi="Calibri"/>
          <w:color w:val="000000"/>
          <w:lang w:val="es-DO"/>
        </w:rPr>
        <w:t>2022</w:t>
      </w:r>
      <w:r w:rsidRPr="008E2D67">
        <w:rPr>
          <w:rFonts w:ascii="Calibri" w:hAnsi="Calibri"/>
          <w:color w:val="000000"/>
          <w:lang w:val="es-DO"/>
        </w:rPr>
        <w:t xml:space="preserve">, para un total de RD$ </w:t>
      </w:r>
      <w:r>
        <w:rPr>
          <w:rFonts w:ascii="Calibri" w:hAnsi="Calibri"/>
          <w:color w:val="000000"/>
          <w:lang w:val="es-DO"/>
        </w:rPr>
        <w:t>500</w:t>
      </w:r>
      <w:r w:rsidRPr="008E2D67">
        <w:rPr>
          <w:rFonts w:ascii="Calibri" w:hAnsi="Calibri"/>
          <w:color w:val="000000"/>
          <w:lang w:val="es-DO"/>
        </w:rPr>
        <w:t xml:space="preserve">.00 millones en </w:t>
      </w:r>
      <w:r>
        <w:rPr>
          <w:rFonts w:ascii="Calibri" w:hAnsi="Calibri"/>
          <w:color w:val="000000"/>
          <w:lang w:val="es-DO"/>
        </w:rPr>
        <w:t>estos dos añ</w:t>
      </w:r>
      <w:r w:rsidRPr="008E2D67">
        <w:rPr>
          <w:rFonts w:ascii="Calibri" w:hAnsi="Calibri"/>
          <w:color w:val="000000"/>
          <w:lang w:val="es-DO"/>
        </w:rPr>
        <w:t xml:space="preserve">os. </w:t>
      </w:r>
    </w:p>
    <w:p w14:paraId="22A24E45" w14:textId="77777777" w:rsidR="00AA6B10" w:rsidRPr="008E2D67" w:rsidRDefault="00AA6B10" w:rsidP="00AA6B10">
      <w:pPr>
        <w:jc w:val="both"/>
        <w:rPr>
          <w:rFonts w:ascii="Calibri" w:hAnsi="Calibri"/>
          <w:lang w:val="es-DO"/>
        </w:rPr>
      </w:pPr>
    </w:p>
    <w:p w14:paraId="47A1748C" w14:textId="77777777" w:rsidR="00AA6B10" w:rsidRPr="00273025" w:rsidRDefault="00AA6B10" w:rsidP="00AA6B10">
      <w:pPr>
        <w:tabs>
          <w:tab w:val="left" w:pos="3402"/>
        </w:tabs>
        <w:jc w:val="both"/>
        <w:rPr>
          <w:rFonts w:ascii="Calibri" w:hAnsi="Calibri"/>
          <w:b/>
          <w:color w:val="000000"/>
          <w:lang w:val="es-DO"/>
        </w:rPr>
      </w:pPr>
      <w:r w:rsidRPr="00273025">
        <w:rPr>
          <w:rFonts w:ascii="Calibri" w:hAnsi="Calibri"/>
          <w:b/>
          <w:color w:val="000000"/>
          <w:lang w:val="es-DO"/>
        </w:rPr>
        <w:t xml:space="preserve">Al establecer una comparación entre las cifras transferidas por el Gobierno Central, a través del Ministerio de Energía y Minas, y el monto equivalente al 5% del Impuesto Sobre la Renta pagado por </w:t>
      </w:r>
      <w:proofErr w:type="spellStart"/>
      <w:r w:rsidRPr="00273025">
        <w:rPr>
          <w:rFonts w:ascii="Calibri" w:hAnsi="Calibri"/>
          <w:b/>
          <w:color w:val="000000"/>
          <w:lang w:val="es-DO"/>
        </w:rPr>
        <w:t>PVDC</w:t>
      </w:r>
      <w:proofErr w:type="spellEnd"/>
      <w:r w:rsidRPr="00273025">
        <w:rPr>
          <w:rFonts w:ascii="Calibri" w:hAnsi="Calibri"/>
          <w:b/>
          <w:color w:val="000000"/>
          <w:lang w:val="es-DO"/>
        </w:rPr>
        <w:t xml:space="preserve"> en </w:t>
      </w:r>
      <w:r>
        <w:rPr>
          <w:rFonts w:ascii="Calibri" w:hAnsi="Calibri"/>
          <w:b/>
          <w:color w:val="000000"/>
          <w:lang w:val="es-DO"/>
        </w:rPr>
        <w:t>2021</w:t>
      </w:r>
      <w:r w:rsidRPr="00273025">
        <w:rPr>
          <w:rFonts w:ascii="Calibri" w:hAnsi="Calibri"/>
          <w:b/>
          <w:color w:val="000000"/>
          <w:lang w:val="es-DO"/>
        </w:rPr>
        <w:t xml:space="preserve"> y 202</w:t>
      </w:r>
      <w:r>
        <w:rPr>
          <w:rFonts w:ascii="Calibri" w:hAnsi="Calibri"/>
          <w:b/>
          <w:color w:val="000000"/>
          <w:lang w:val="es-DO"/>
        </w:rPr>
        <w:t>2</w:t>
      </w:r>
      <w:r w:rsidRPr="00273025">
        <w:rPr>
          <w:rFonts w:ascii="Calibri" w:hAnsi="Calibri"/>
          <w:b/>
          <w:color w:val="000000"/>
          <w:lang w:val="es-DO"/>
        </w:rPr>
        <w:t xml:space="preserve">, se obtiene una variación absoluta negativa de RD$ </w:t>
      </w:r>
      <w:r>
        <w:rPr>
          <w:rFonts w:ascii="Calibri" w:hAnsi="Calibri"/>
          <w:b/>
          <w:color w:val="000000"/>
          <w:lang w:val="es-DO"/>
        </w:rPr>
        <w:t>427</w:t>
      </w:r>
      <w:r w:rsidRPr="00273025">
        <w:rPr>
          <w:rFonts w:ascii="Calibri" w:hAnsi="Calibri"/>
          <w:b/>
          <w:color w:val="000000"/>
          <w:lang w:val="es-DO"/>
        </w:rPr>
        <w:t>.</w:t>
      </w:r>
      <w:r>
        <w:rPr>
          <w:rFonts w:ascii="Calibri" w:hAnsi="Calibri"/>
          <w:b/>
          <w:color w:val="000000"/>
          <w:lang w:val="es-DO"/>
        </w:rPr>
        <w:t>51</w:t>
      </w:r>
      <w:r w:rsidRPr="00273025">
        <w:rPr>
          <w:rFonts w:ascii="Calibri" w:hAnsi="Calibri"/>
          <w:b/>
          <w:color w:val="000000"/>
          <w:lang w:val="es-DO"/>
        </w:rPr>
        <w:t xml:space="preserve"> millones en </w:t>
      </w:r>
      <w:r>
        <w:rPr>
          <w:rFonts w:ascii="Calibri" w:hAnsi="Calibri"/>
          <w:b/>
          <w:color w:val="000000"/>
          <w:lang w:val="es-DO"/>
        </w:rPr>
        <w:t>2021</w:t>
      </w:r>
      <w:r w:rsidRPr="00273025">
        <w:rPr>
          <w:rFonts w:ascii="Calibri" w:hAnsi="Calibri"/>
          <w:b/>
          <w:color w:val="000000"/>
          <w:lang w:val="es-DO"/>
        </w:rPr>
        <w:t xml:space="preserve"> y de RD$ </w:t>
      </w:r>
      <w:r>
        <w:rPr>
          <w:rFonts w:ascii="Calibri" w:hAnsi="Calibri"/>
          <w:b/>
          <w:color w:val="000000"/>
          <w:lang w:val="es-DO"/>
        </w:rPr>
        <w:t>92</w:t>
      </w:r>
      <w:r w:rsidRPr="00273025">
        <w:rPr>
          <w:rFonts w:ascii="Calibri" w:hAnsi="Calibri"/>
          <w:b/>
          <w:color w:val="000000"/>
          <w:lang w:val="es-DO"/>
        </w:rPr>
        <w:t>.</w:t>
      </w:r>
      <w:r>
        <w:rPr>
          <w:rFonts w:ascii="Calibri" w:hAnsi="Calibri"/>
          <w:b/>
          <w:color w:val="000000"/>
          <w:lang w:val="es-DO"/>
        </w:rPr>
        <w:t>73</w:t>
      </w:r>
      <w:r w:rsidRPr="00273025">
        <w:rPr>
          <w:rFonts w:ascii="Calibri" w:hAnsi="Calibri"/>
          <w:b/>
          <w:color w:val="000000"/>
          <w:lang w:val="es-DO"/>
        </w:rPr>
        <w:t xml:space="preserve"> millones en el </w:t>
      </w:r>
      <w:r>
        <w:rPr>
          <w:rFonts w:ascii="Calibri" w:hAnsi="Calibri"/>
          <w:b/>
          <w:color w:val="000000"/>
          <w:lang w:val="es-DO"/>
        </w:rPr>
        <w:t>2022</w:t>
      </w:r>
      <w:r w:rsidRPr="00273025">
        <w:rPr>
          <w:rFonts w:ascii="Calibri" w:hAnsi="Calibri"/>
          <w:b/>
          <w:color w:val="000000"/>
          <w:lang w:val="es-DO"/>
        </w:rPr>
        <w:t xml:space="preserve"> (-</w:t>
      </w:r>
      <w:r>
        <w:rPr>
          <w:rFonts w:ascii="Calibri" w:hAnsi="Calibri"/>
          <w:b/>
          <w:color w:val="000000"/>
          <w:lang w:val="es-DO"/>
        </w:rPr>
        <w:t xml:space="preserve"> 68</w:t>
      </w:r>
      <w:r w:rsidRPr="00273025">
        <w:rPr>
          <w:rFonts w:ascii="Calibri" w:hAnsi="Calibri"/>
          <w:b/>
          <w:color w:val="000000"/>
          <w:lang w:val="es-DO"/>
        </w:rPr>
        <w:t>.</w:t>
      </w:r>
      <w:r>
        <w:rPr>
          <w:rFonts w:ascii="Calibri" w:hAnsi="Calibri"/>
          <w:b/>
          <w:color w:val="000000"/>
          <w:lang w:val="es-DO"/>
        </w:rPr>
        <w:t xml:space="preserve">13 </w:t>
      </w:r>
      <w:r w:rsidRPr="00273025">
        <w:rPr>
          <w:rFonts w:ascii="Calibri" w:hAnsi="Calibri"/>
          <w:b/>
          <w:color w:val="000000"/>
          <w:lang w:val="es-DO"/>
        </w:rPr>
        <w:t>% y -</w:t>
      </w:r>
      <w:r>
        <w:rPr>
          <w:rFonts w:ascii="Calibri" w:hAnsi="Calibri"/>
          <w:b/>
          <w:color w:val="000000"/>
          <w:lang w:val="es-DO"/>
        </w:rPr>
        <w:t xml:space="preserve"> 23</w:t>
      </w:r>
      <w:r w:rsidRPr="00273025">
        <w:rPr>
          <w:rFonts w:ascii="Calibri" w:hAnsi="Calibri"/>
          <w:b/>
          <w:color w:val="000000"/>
          <w:lang w:val="es-DO"/>
        </w:rPr>
        <w:t>.</w:t>
      </w:r>
      <w:r>
        <w:rPr>
          <w:rFonts w:ascii="Calibri" w:hAnsi="Calibri"/>
          <w:b/>
          <w:color w:val="000000"/>
          <w:lang w:val="es-DO"/>
        </w:rPr>
        <w:t xml:space="preserve">61 </w:t>
      </w:r>
      <w:r w:rsidRPr="00273025">
        <w:rPr>
          <w:rFonts w:ascii="Calibri" w:hAnsi="Calibri"/>
          <w:b/>
          <w:color w:val="000000"/>
          <w:lang w:val="es-DO"/>
        </w:rPr>
        <w:t xml:space="preserve">% en términos relativos, </w:t>
      </w:r>
      <w:r>
        <w:rPr>
          <w:rFonts w:ascii="Calibri" w:hAnsi="Calibri"/>
          <w:b/>
          <w:color w:val="000000"/>
          <w:lang w:val="es-DO"/>
        </w:rPr>
        <w:t>de forma respectiva</w:t>
      </w:r>
      <w:r w:rsidRPr="00273025">
        <w:rPr>
          <w:rFonts w:ascii="Calibri" w:hAnsi="Calibri"/>
          <w:b/>
          <w:color w:val="000000"/>
          <w:lang w:val="es-DO"/>
        </w:rPr>
        <w:t xml:space="preserve">). </w:t>
      </w:r>
    </w:p>
    <w:p w14:paraId="180103A4" w14:textId="77777777" w:rsidR="00AA6B10" w:rsidRPr="00273025" w:rsidRDefault="00AA6B10" w:rsidP="00AA6B10">
      <w:pPr>
        <w:jc w:val="both"/>
        <w:rPr>
          <w:rFonts w:ascii="Calibri" w:hAnsi="Calibri"/>
          <w:lang w:val="es-DO"/>
        </w:rPr>
      </w:pPr>
    </w:p>
    <w:p w14:paraId="79F569D0" w14:textId="77777777" w:rsidR="00AA6B10" w:rsidRPr="00273025" w:rsidRDefault="00AA6B10" w:rsidP="00AA6B10">
      <w:pPr>
        <w:jc w:val="center"/>
        <w:rPr>
          <w:rFonts w:ascii="Calibri" w:hAnsi="Calibri"/>
          <w:b/>
          <w:lang w:val="es-DO"/>
        </w:rPr>
      </w:pPr>
      <w:r w:rsidRPr="00273025">
        <w:rPr>
          <w:rFonts w:ascii="Calibri" w:hAnsi="Calibri"/>
          <w:b/>
          <w:lang w:val="es-DO"/>
        </w:rPr>
        <w:t>Tabla No. 1.2.2</w:t>
      </w:r>
    </w:p>
    <w:p w14:paraId="56E95C74" w14:textId="77777777" w:rsidR="00AA6B10" w:rsidRPr="00273025" w:rsidRDefault="00AA6B10" w:rsidP="00AA6B10">
      <w:pPr>
        <w:jc w:val="center"/>
        <w:rPr>
          <w:rFonts w:ascii="Calibri" w:hAnsi="Calibri"/>
          <w:b/>
          <w:lang w:val="es-DO"/>
        </w:rPr>
      </w:pPr>
      <w:r w:rsidRPr="00273025">
        <w:rPr>
          <w:rFonts w:ascii="Calibri" w:hAnsi="Calibri"/>
          <w:b/>
          <w:lang w:val="es-DO"/>
        </w:rPr>
        <w:t xml:space="preserve">Comparativo de las Transferencias del Gobierno Central a </w:t>
      </w:r>
      <w:proofErr w:type="spellStart"/>
      <w:r w:rsidRPr="00273025">
        <w:rPr>
          <w:rFonts w:ascii="Calibri" w:hAnsi="Calibri"/>
          <w:b/>
          <w:lang w:val="es-DO"/>
        </w:rPr>
        <w:t>FOMISAR</w:t>
      </w:r>
      <w:proofErr w:type="spellEnd"/>
      <w:r w:rsidRPr="00273025">
        <w:rPr>
          <w:rFonts w:ascii="Calibri" w:hAnsi="Calibri"/>
          <w:b/>
          <w:lang w:val="es-DO"/>
        </w:rPr>
        <w:t xml:space="preserve"> y del 5% del Impuesto sobre la Renta Pagado por </w:t>
      </w:r>
      <w:proofErr w:type="spellStart"/>
      <w:r w:rsidRPr="00273025">
        <w:rPr>
          <w:rFonts w:ascii="Calibri" w:hAnsi="Calibri"/>
          <w:b/>
          <w:lang w:val="es-DO"/>
        </w:rPr>
        <w:t>PVDC</w:t>
      </w:r>
      <w:proofErr w:type="spellEnd"/>
      <w:r w:rsidRPr="00273025">
        <w:rPr>
          <w:rFonts w:ascii="Calibri" w:hAnsi="Calibri"/>
          <w:b/>
          <w:lang w:val="es-DO"/>
        </w:rPr>
        <w:t xml:space="preserve"> en </w:t>
      </w:r>
      <w:r>
        <w:rPr>
          <w:rFonts w:ascii="Calibri" w:hAnsi="Calibri"/>
          <w:b/>
          <w:lang w:val="es-DO"/>
        </w:rPr>
        <w:t>2021</w:t>
      </w:r>
      <w:r w:rsidRPr="00273025">
        <w:rPr>
          <w:rFonts w:ascii="Calibri" w:hAnsi="Calibri"/>
          <w:b/>
          <w:lang w:val="es-DO"/>
        </w:rPr>
        <w:t xml:space="preserve"> y </w:t>
      </w:r>
      <w:r>
        <w:rPr>
          <w:rFonts w:ascii="Calibri" w:hAnsi="Calibri"/>
          <w:b/>
          <w:lang w:val="es-DO"/>
        </w:rPr>
        <w:t>2022</w:t>
      </w:r>
    </w:p>
    <w:p w14:paraId="518CACC6" w14:textId="77777777" w:rsidR="00AA6B10" w:rsidRDefault="00AA6B10" w:rsidP="00AA6B10">
      <w:pPr>
        <w:jc w:val="center"/>
        <w:rPr>
          <w:rFonts w:ascii="Calibri" w:hAnsi="Calibri"/>
          <w:b/>
          <w:lang w:val="es-DO"/>
        </w:rPr>
      </w:pPr>
      <w:r w:rsidRPr="00273025">
        <w:rPr>
          <w:rFonts w:ascii="Calibri" w:hAnsi="Calibri"/>
          <w:b/>
          <w:lang w:val="es-DO"/>
        </w:rPr>
        <w:t>En RD$ y %</w:t>
      </w:r>
    </w:p>
    <w:p w14:paraId="1CCD1195" w14:textId="77777777" w:rsidR="00AA6B10" w:rsidRPr="00273025" w:rsidRDefault="00AA6B10" w:rsidP="00AA6B10">
      <w:pPr>
        <w:jc w:val="center"/>
        <w:rPr>
          <w:rFonts w:ascii="Calibri" w:hAnsi="Calibri"/>
          <w:b/>
          <w:lang w:val="es-DO"/>
        </w:rPr>
      </w:pPr>
    </w:p>
    <w:p w14:paraId="022838F4" w14:textId="5CCE766D" w:rsidR="00AA6B10" w:rsidRDefault="004755C2" w:rsidP="00AA6B10">
      <w:pPr>
        <w:jc w:val="center"/>
        <w:rPr>
          <w:rFonts w:ascii="Calibri" w:hAnsi="Calibri"/>
          <w:b/>
          <w:lang w:val="es-DO"/>
        </w:rPr>
      </w:pPr>
      <w:r w:rsidRPr="004755C2">
        <w:rPr>
          <w:noProof/>
        </w:rPr>
        <w:drawing>
          <wp:inline distT="0" distB="0" distL="0" distR="0" wp14:anchorId="6DB40C56" wp14:editId="0663D8F3">
            <wp:extent cx="5581015" cy="1351915"/>
            <wp:effectExtent l="0" t="0" r="635" b="635"/>
            <wp:docPr id="19593228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A87A" w14:textId="77777777" w:rsidR="00AA6B10" w:rsidRDefault="00AA6B10" w:rsidP="00AA6B10">
      <w:pPr>
        <w:rPr>
          <w:rFonts w:ascii="Calibri" w:hAnsi="Calibri"/>
          <w:b/>
          <w:lang w:val="es-DO"/>
        </w:rPr>
      </w:pPr>
    </w:p>
    <w:p w14:paraId="78D5473B" w14:textId="77777777" w:rsidR="00AA6B10" w:rsidRDefault="00AA6B10" w:rsidP="00AA6B10">
      <w:pPr>
        <w:rPr>
          <w:rFonts w:ascii="Calibri" w:hAnsi="Calibri"/>
          <w:b/>
          <w:lang w:val="es-DO"/>
        </w:rPr>
      </w:pPr>
    </w:p>
    <w:p w14:paraId="291A9D65" w14:textId="77777777" w:rsidR="00AA6B10" w:rsidRDefault="00AA6B10" w:rsidP="00AA6B10">
      <w:pPr>
        <w:rPr>
          <w:rFonts w:ascii="Calibri" w:hAnsi="Calibri"/>
          <w:b/>
          <w:lang w:val="es-DO"/>
        </w:rPr>
      </w:pPr>
    </w:p>
    <w:p w14:paraId="252F8161" w14:textId="77777777" w:rsidR="00AA6B10" w:rsidRDefault="00AA6B10" w:rsidP="00AA6B10">
      <w:pPr>
        <w:rPr>
          <w:rFonts w:ascii="Calibri" w:hAnsi="Calibri"/>
          <w:b/>
          <w:lang w:val="es-DO"/>
        </w:rPr>
      </w:pPr>
    </w:p>
    <w:p w14:paraId="2A833C7B" w14:textId="77777777" w:rsidR="00AA6B10" w:rsidRPr="008E2D67" w:rsidRDefault="00AA6B10" w:rsidP="00AA6B10">
      <w:pPr>
        <w:rPr>
          <w:rFonts w:ascii="Calibri" w:hAnsi="Calibri"/>
          <w:b/>
          <w:lang w:val="es-DO"/>
        </w:rPr>
      </w:pPr>
    </w:p>
    <w:p w14:paraId="07B41726" w14:textId="77777777" w:rsidR="00AA6B10" w:rsidRPr="008E2D67" w:rsidRDefault="00AA6B10" w:rsidP="00AA6B10">
      <w:pPr>
        <w:keepNext/>
        <w:keepLines/>
        <w:spacing w:before="40"/>
        <w:outlineLvl w:val="1"/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</w:pPr>
      <w:bookmarkStart w:id="11" w:name="_Toc31065199"/>
      <w:bookmarkStart w:id="12" w:name="_Toc89157427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1.3 Comparativo entre las Transferencias del Gobierno Central y el 5% del ISR Pagado por </w:t>
      </w:r>
      <w:proofErr w:type="spellStart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PVDC</w:t>
      </w:r>
      <w:proofErr w:type="spellEnd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 Período 2016</w:t>
      </w:r>
      <w:r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 </w:t>
      </w:r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-</w:t>
      </w:r>
      <w:r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 </w:t>
      </w:r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20</w:t>
      </w:r>
      <w:bookmarkEnd w:id="11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</w:t>
      </w:r>
      <w:bookmarkEnd w:id="12"/>
      <w:r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</w:t>
      </w:r>
    </w:p>
    <w:p w14:paraId="22E8C5D4" w14:textId="77777777" w:rsidR="00AA6B10" w:rsidRPr="008E2D67" w:rsidRDefault="00AA6B10" w:rsidP="00AA6B10">
      <w:pPr>
        <w:jc w:val="both"/>
        <w:rPr>
          <w:rFonts w:ascii="Calibri" w:hAnsi="Calibri"/>
          <w:lang w:val="es-DO"/>
        </w:rPr>
      </w:pPr>
    </w:p>
    <w:p w14:paraId="56FA1242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t xml:space="preserve">Al presentar de manera consolidada los montos transferidos por el Gobierno Central al Consejo Provincial de </w:t>
      </w:r>
      <w:proofErr w:type="spellStart"/>
      <w:r w:rsidRPr="008E2D67">
        <w:rPr>
          <w:rFonts w:ascii="Calibri" w:hAnsi="Calibri"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 desde 2016 hasta 202</w:t>
      </w:r>
      <w:r>
        <w:rPr>
          <w:rFonts w:ascii="Calibri" w:hAnsi="Calibri"/>
          <w:color w:val="000000"/>
          <w:lang w:val="es-DO"/>
        </w:rPr>
        <w:t>2</w:t>
      </w:r>
      <w:r w:rsidRPr="008E2D67">
        <w:rPr>
          <w:rFonts w:ascii="Calibri" w:hAnsi="Calibri"/>
          <w:color w:val="000000"/>
          <w:lang w:val="es-DO"/>
        </w:rPr>
        <w:t xml:space="preserve">, y los montos equivalentes al 5% del ISR pagado por </w:t>
      </w:r>
      <w:proofErr w:type="spellStart"/>
      <w:r w:rsidRPr="008E2D67">
        <w:rPr>
          <w:rFonts w:ascii="Calibri" w:hAnsi="Calibri"/>
          <w:color w:val="000000"/>
          <w:lang w:val="es-DO"/>
        </w:rPr>
        <w:t>PVDC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 para esos años, se obtiene el siguiente balance: </w:t>
      </w:r>
    </w:p>
    <w:p w14:paraId="529B4950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2A586C03" w14:textId="77777777" w:rsidR="00AA6B10" w:rsidRPr="00273025" w:rsidRDefault="00AA6B10" w:rsidP="00AA6B10">
      <w:pPr>
        <w:jc w:val="center"/>
        <w:rPr>
          <w:rFonts w:ascii="Calibri" w:hAnsi="Calibri"/>
          <w:b/>
          <w:color w:val="000000"/>
          <w:lang w:val="es-DO"/>
        </w:rPr>
      </w:pPr>
      <w:r w:rsidRPr="00273025">
        <w:rPr>
          <w:rFonts w:ascii="Calibri" w:hAnsi="Calibri"/>
          <w:b/>
          <w:color w:val="000000"/>
          <w:lang w:val="es-DO"/>
        </w:rPr>
        <w:t>Tabla No. 1.3.1</w:t>
      </w:r>
    </w:p>
    <w:p w14:paraId="1D3482CA" w14:textId="77777777" w:rsidR="00AA6B10" w:rsidRPr="00273025" w:rsidRDefault="00AA6B10" w:rsidP="00AA6B10">
      <w:pPr>
        <w:jc w:val="center"/>
        <w:rPr>
          <w:rFonts w:ascii="Calibri" w:hAnsi="Calibri"/>
          <w:b/>
          <w:color w:val="000000"/>
          <w:lang w:val="es-DO"/>
        </w:rPr>
      </w:pPr>
      <w:r w:rsidRPr="00273025">
        <w:rPr>
          <w:rFonts w:ascii="Calibri" w:hAnsi="Calibri"/>
          <w:b/>
          <w:color w:val="000000"/>
          <w:lang w:val="es-DO"/>
        </w:rPr>
        <w:t xml:space="preserve">Comparativo de las Transferencias del Gobierno Central a </w:t>
      </w:r>
      <w:proofErr w:type="spellStart"/>
      <w:r w:rsidRPr="00273025">
        <w:rPr>
          <w:rFonts w:ascii="Calibri" w:hAnsi="Calibri"/>
          <w:b/>
          <w:color w:val="000000"/>
          <w:lang w:val="es-DO"/>
        </w:rPr>
        <w:t>FOMISAR</w:t>
      </w:r>
      <w:proofErr w:type="spellEnd"/>
      <w:r w:rsidRPr="00273025">
        <w:rPr>
          <w:rFonts w:ascii="Calibri" w:hAnsi="Calibri"/>
          <w:b/>
          <w:color w:val="000000"/>
          <w:lang w:val="es-DO"/>
        </w:rPr>
        <w:t xml:space="preserve"> y del 5% del Impuesto sobre la Renta Pagado por </w:t>
      </w:r>
      <w:proofErr w:type="spellStart"/>
      <w:r w:rsidRPr="00273025">
        <w:rPr>
          <w:rFonts w:ascii="Calibri" w:hAnsi="Calibri"/>
          <w:b/>
          <w:color w:val="000000"/>
          <w:lang w:val="es-DO"/>
        </w:rPr>
        <w:t>PVDC</w:t>
      </w:r>
      <w:proofErr w:type="spellEnd"/>
      <w:r w:rsidRPr="00273025">
        <w:rPr>
          <w:rFonts w:ascii="Calibri" w:hAnsi="Calibri"/>
          <w:b/>
          <w:color w:val="000000"/>
          <w:lang w:val="es-DO"/>
        </w:rPr>
        <w:t xml:space="preserve"> en el Período 2016</w:t>
      </w:r>
      <w:r>
        <w:rPr>
          <w:rFonts w:ascii="Calibri" w:hAnsi="Calibri"/>
          <w:b/>
          <w:color w:val="000000"/>
          <w:lang w:val="es-DO"/>
        </w:rPr>
        <w:t xml:space="preserve"> </w:t>
      </w:r>
      <w:r w:rsidRPr="00273025">
        <w:rPr>
          <w:rFonts w:ascii="Calibri" w:hAnsi="Calibri"/>
          <w:b/>
          <w:color w:val="000000"/>
          <w:lang w:val="es-DO"/>
        </w:rPr>
        <w:t>-</w:t>
      </w:r>
      <w:r>
        <w:rPr>
          <w:rFonts w:ascii="Calibri" w:hAnsi="Calibri"/>
          <w:b/>
          <w:color w:val="000000"/>
          <w:lang w:val="es-DO"/>
        </w:rPr>
        <w:t xml:space="preserve"> 2022</w:t>
      </w:r>
    </w:p>
    <w:p w14:paraId="028A2EBE" w14:textId="77777777" w:rsidR="00AA6B10" w:rsidRDefault="00AA6B10" w:rsidP="00AA6B10">
      <w:pPr>
        <w:jc w:val="center"/>
        <w:rPr>
          <w:rFonts w:ascii="Calibri" w:hAnsi="Calibri"/>
          <w:b/>
          <w:color w:val="000000"/>
          <w:lang w:val="es-DO"/>
        </w:rPr>
      </w:pPr>
      <w:r w:rsidRPr="00273025">
        <w:rPr>
          <w:rFonts w:ascii="Calibri" w:hAnsi="Calibri"/>
          <w:b/>
          <w:color w:val="000000"/>
          <w:lang w:val="es-DO"/>
        </w:rPr>
        <w:t>En RD$ y %</w:t>
      </w:r>
    </w:p>
    <w:p w14:paraId="0A2FDAB6" w14:textId="77777777" w:rsidR="00AA6B10" w:rsidRPr="00273025" w:rsidRDefault="00AA6B10" w:rsidP="00AA6B10">
      <w:pPr>
        <w:jc w:val="center"/>
        <w:rPr>
          <w:rFonts w:ascii="Calibri" w:hAnsi="Calibri"/>
          <w:b/>
          <w:color w:val="000000"/>
          <w:lang w:val="es-DO"/>
        </w:rPr>
      </w:pPr>
    </w:p>
    <w:p w14:paraId="68E6279F" w14:textId="387104A0" w:rsidR="00AA6B10" w:rsidRPr="00611CB8" w:rsidRDefault="00611CB8" w:rsidP="00AA6B10">
      <w:pPr>
        <w:jc w:val="center"/>
        <w:rPr>
          <w:rFonts w:ascii="Calibri" w:hAnsi="Calibri"/>
          <w:color w:val="000000"/>
          <w:lang w:val="es-DO"/>
        </w:rPr>
      </w:pPr>
      <w:r w:rsidRPr="00611CB8">
        <w:rPr>
          <w:noProof/>
        </w:rPr>
        <w:drawing>
          <wp:inline distT="0" distB="0" distL="0" distR="0" wp14:anchorId="2F915E31" wp14:editId="023DC14E">
            <wp:extent cx="5581015" cy="2837815"/>
            <wp:effectExtent l="0" t="0" r="635" b="0"/>
            <wp:docPr id="9234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22F4C" w14:textId="0B1229EB" w:rsidR="00AA6B10" w:rsidRDefault="00AA6B10" w:rsidP="00AA6B10">
      <w:pPr>
        <w:jc w:val="both"/>
        <w:rPr>
          <w:rFonts w:ascii="Calibri" w:hAnsi="Calibri"/>
          <w:color w:val="000000"/>
          <w:lang w:val="es-DO"/>
        </w:rPr>
      </w:pPr>
      <w:r w:rsidRPr="005E2388">
        <w:rPr>
          <w:rFonts w:ascii="Calibri" w:hAnsi="Calibri"/>
          <w:color w:val="000000"/>
          <w:lang w:val="es-DO"/>
        </w:rPr>
        <w:t xml:space="preserve">En el cuadro anterior, se observa que para los años 2016 y 2018 las transferencias realizadas por el Gobierno Central a </w:t>
      </w:r>
      <w:proofErr w:type="spellStart"/>
      <w:r w:rsidRPr="005E2388">
        <w:rPr>
          <w:rFonts w:ascii="Calibri" w:hAnsi="Calibri"/>
          <w:color w:val="000000"/>
          <w:lang w:val="es-DO"/>
        </w:rPr>
        <w:t>FOMISAR</w:t>
      </w:r>
      <w:proofErr w:type="spellEnd"/>
      <w:r w:rsidRPr="005E2388">
        <w:rPr>
          <w:rFonts w:ascii="Calibri" w:hAnsi="Calibri"/>
          <w:color w:val="000000"/>
          <w:lang w:val="es-DO"/>
        </w:rPr>
        <w:t xml:space="preserve"> estuvieron por encima del 5% del ISR pagado por </w:t>
      </w:r>
      <w:proofErr w:type="spellStart"/>
      <w:r w:rsidRPr="005E2388">
        <w:rPr>
          <w:rFonts w:ascii="Calibri" w:hAnsi="Calibri"/>
          <w:color w:val="000000"/>
          <w:lang w:val="es-DO"/>
        </w:rPr>
        <w:t>PVDC</w:t>
      </w:r>
      <w:proofErr w:type="spellEnd"/>
      <w:r w:rsidRPr="005E2388">
        <w:rPr>
          <w:rFonts w:ascii="Calibri" w:hAnsi="Calibri"/>
          <w:color w:val="000000"/>
          <w:lang w:val="es-DO"/>
        </w:rPr>
        <w:t>, registrándose una diferencia positiva de RD$ 79.17 millones en el 2016 y de              RD$ 16.42 millones en el 2018. Contrariamente, estuvieron por debajo del monto establecido las transferencias realizadas en los años 2017, 2019 y 2020, con una diferencia negativa de RD$ 111.08 millones, RD$ 41.11 millones y RD$ 218.11 millones</w:t>
      </w:r>
      <w:r w:rsidR="001741CB">
        <w:rPr>
          <w:rFonts w:ascii="Calibri" w:hAnsi="Calibri"/>
          <w:color w:val="000000"/>
          <w:lang w:val="es-DO"/>
        </w:rPr>
        <w:t xml:space="preserve"> </w:t>
      </w:r>
      <w:r w:rsidRPr="005E2388">
        <w:rPr>
          <w:rFonts w:ascii="Calibri" w:hAnsi="Calibri"/>
          <w:color w:val="000000"/>
          <w:lang w:val="es-DO"/>
        </w:rPr>
        <w:t>respectiva</w:t>
      </w:r>
      <w:r w:rsidR="001741CB">
        <w:rPr>
          <w:rFonts w:ascii="Calibri" w:hAnsi="Calibri"/>
          <w:color w:val="000000"/>
          <w:lang w:val="es-DO"/>
        </w:rPr>
        <w:t>mente</w:t>
      </w:r>
      <w:r w:rsidR="00AA1398">
        <w:rPr>
          <w:rFonts w:ascii="Calibri" w:hAnsi="Calibri"/>
          <w:color w:val="000000"/>
          <w:lang w:val="es-DO"/>
        </w:rPr>
        <w:t>, siendo la diferencia más significativa de este periodo el año 2021 con una diferencia absoluta de RD$ 427.51 millones.</w:t>
      </w:r>
    </w:p>
    <w:p w14:paraId="44DD5611" w14:textId="77777777" w:rsidR="00AA6B10" w:rsidRDefault="00AA6B10" w:rsidP="00AA6B10">
      <w:pPr>
        <w:jc w:val="both"/>
        <w:rPr>
          <w:rFonts w:ascii="Calibri" w:hAnsi="Calibri"/>
          <w:color w:val="000000"/>
          <w:lang w:val="es-DO"/>
        </w:rPr>
      </w:pPr>
    </w:p>
    <w:p w14:paraId="7A3BB3BF" w14:textId="77777777" w:rsidR="00AA6B10" w:rsidRDefault="00AA6B10" w:rsidP="00AA6B10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 xml:space="preserve">De modo que, de forma consolidada, las transferencias del Gobierno Central a </w:t>
      </w:r>
      <w:proofErr w:type="spellStart"/>
      <w:r>
        <w:rPr>
          <w:rFonts w:ascii="Calibri" w:hAnsi="Calibri"/>
          <w:color w:val="000000"/>
          <w:lang w:val="es-DO"/>
        </w:rPr>
        <w:t>FOMISAR</w:t>
      </w:r>
      <w:proofErr w:type="spellEnd"/>
    </w:p>
    <w:p w14:paraId="5F6BA3F7" w14:textId="77777777" w:rsidR="00AA6B10" w:rsidRPr="008E2D67" w:rsidRDefault="00AA6B10" w:rsidP="00AA6B10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 xml:space="preserve">estuvieron por debajo en RD$ 794.94 millones con respecto al monto equivalente al 5% del ISR pagado por </w:t>
      </w:r>
      <w:proofErr w:type="spellStart"/>
      <w:r>
        <w:rPr>
          <w:rFonts w:ascii="Calibri" w:hAnsi="Calibri"/>
          <w:color w:val="000000"/>
          <w:lang w:val="es-DO"/>
        </w:rPr>
        <w:t>PVDC</w:t>
      </w:r>
      <w:proofErr w:type="spellEnd"/>
      <w:r>
        <w:rPr>
          <w:rFonts w:ascii="Calibri" w:hAnsi="Calibri"/>
          <w:color w:val="000000"/>
          <w:lang w:val="es-DO"/>
        </w:rPr>
        <w:t xml:space="preserve"> durante el período 2016 - 2023, con un valor total transferido ascendente a RD$ 1,500 millones, en contraste con un total de </w:t>
      </w:r>
      <w:proofErr w:type="spellStart"/>
      <w:r>
        <w:rPr>
          <w:rFonts w:ascii="Calibri" w:hAnsi="Calibri"/>
          <w:color w:val="000000"/>
          <w:lang w:val="es-DO"/>
        </w:rPr>
        <w:t>RD$2,294.94</w:t>
      </w:r>
      <w:proofErr w:type="spellEnd"/>
      <w:r>
        <w:rPr>
          <w:rFonts w:ascii="Calibri" w:hAnsi="Calibri"/>
          <w:color w:val="000000"/>
          <w:lang w:val="es-DO"/>
        </w:rPr>
        <w:t xml:space="preserve"> millones correspondiente al 5% del ISR pagado por </w:t>
      </w:r>
      <w:proofErr w:type="spellStart"/>
      <w:r>
        <w:rPr>
          <w:rFonts w:ascii="Calibri" w:hAnsi="Calibri"/>
          <w:color w:val="000000"/>
          <w:lang w:val="es-DO"/>
        </w:rPr>
        <w:t>PVDC</w:t>
      </w:r>
      <w:proofErr w:type="spellEnd"/>
      <w:r>
        <w:rPr>
          <w:rFonts w:ascii="Calibri" w:hAnsi="Calibri"/>
          <w:color w:val="000000"/>
          <w:lang w:val="es-DO"/>
        </w:rPr>
        <w:t xml:space="preserve"> en dicho lapso.</w:t>
      </w:r>
    </w:p>
    <w:p w14:paraId="6D05332F" w14:textId="77777777" w:rsidR="00AF736F" w:rsidRPr="008E2D67" w:rsidRDefault="00AF736F" w:rsidP="00A005CD">
      <w:pPr>
        <w:jc w:val="both"/>
        <w:rPr>
          <w:rFonts w:ascii="Calibri" w:hAnsi="Calibri"/>
          <w:color w:val="000000"/>
          <w:lang w:val="es-DO"/>
        </w:rPr>
      </w:pPr>
    </w:p>
    <w:p w14:paraId="4F45004C" w14:textId="7961D4D4" w:rsidR="00647FBD" w:rsidRPr="008E2D67" w:rsidRDefault="00647FBD" w:rsidP="002C4AF4">
      <w:pPr>
        <w:keepNext/>
        <w:keepLines/>
        <w:numPr>
          <w:ilvl w:val="0"/>
          <w:numId w:val="1"/>
        </w:numPr>
        <w:spacing w:before="240" w:after="160" w:line="259" w:lineRule="auto"/>
        <w:jc w:val="both"/>
        <w:outlineLvl w:val="0"/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</w:pPr>
      <w:bookmarkStart w:id="13" w:name="_Toc31065200"/>
      <w:bookmarkStart w:id="14" w:name="_Toc89157428"/>
      <w:r w:rsidRPr="008E2D67"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 xml:space="preserve">Distribución Territorial de los Fondos Recibidos por el Consejo Provincial de </w:t>
      </w:r>
      <w:proofErr w:type="spellStart"/>
      <w:r w:rsidRPr="008E2D67"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>FOMISAR</w:t>
      </w:r>
      <w:proofErr w:type="spellEnd"/>
      <w:r w:rsidRPr="008E2D67"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 xml:space="preserve"> en 20</w:t>
      </w:r>
      <w:r w:rsidR="00B04CD8"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>21</w:t>
      </w:r>
      <w:r w:rsidRPr="008E2D67"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 xml:space="preserve"> y </w:t>
      </w:r>
      <w:bookmarkEnd w:id="13"/>
      <w:r w:rsidRPr="008E2D67"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>202</w:t>
      </w:r>
      <w:bookmarkEnd w:id="14"/>
      <w:r w:rsidR="00B04CD8">
        <w:rPr>
          <w:rFonts w:ascii="Arial Narrow" w:eastAsia="Times New Roman" w:hAnsi="Arial Narrow"/>
          <w:b/>
          <w:color w:val="203764"/>
          <w:sz w:val="32"/>
          <w:szCs w:val="32"/>
          <w:lang w:val="es-DO"/>
        </w:rPr>
        <w:t>2</w:t>
      </w:r>
    </w:p>
    <w:p w14:paraId="25294192" w14:textId="77777777" w:rsidR="00647FBD" w:rsidRPr="00391A7D" w:rsidRDefault="00647FBD" w:rsidP="00647FBD">
      <w:pPr>
        <w:jc w:val="both"/>
        <w:rPr>
          <w:rFonts w:ascii="Calibri" w:hAnsi="Calibri"/>
          <w:color w:val="000000"/>
          <w:lang w:val="es-DO"/>
        </w:rPr>
      </w:pPr>
    </w:p>
    <w:p w14:paraId="3AC54F56" w14:textId="77777777" w:rsidR="00647FBD" w:rsidRPr="008E2D67" w:rsidRDefault="00647FBD" w:rsidP="002C4AF4">
      <w:pPr>
        <w:keepNext/>
        <w:keepLines/>
        <w:spacing w:before="40"/>
        <w:jc w:val="both"/>
        <w:outlineLvl w:val="1"/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</w:pPr>
      <w:bookmarkStart w:id="15" w:name="_Toc31065201"/>
      <w:bookmarkStart w:id="16" w:name="_Toc89157429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2.1 Disposiciones del Marco Legal Vigente sobre la Distribución Territorial de los Fondos Mineros de la Provincia Sánchez Ramírez</w:t>
      </w:r>
      <w:bookmarkEnd w:id="15"/>
      <w:bookmarkEnd w:id="16"/>
    </w:p>
    <w:p w14:paraId="3E817327" w14:textId="77777777" w:rsidR="00647FBD" w:rsidRPr="008E2D67" w:rsidRDefault="00647FBD" w:rsidP="00647FBD">
      <w:pPr>
        <w:jc w:val="both"/>
        <w:rPr>
          <w:rFonts w:ascii="Calibri" w:hAnsi="Calibri"/>
          <w:b/>
          <w:color w:val="002060"/>
          <w:u w:val="single"/>
          <w:lang w:val="es-DO"/>
        </w:rPr>
      </w:pPr>
    </w:p>
    <w:p w14:paraId="072B8201" w14:textId="02A543A8" w:rsidR="00647FBD" w:rsidRDefault="00647FBD" w:rsidP="00A005CD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t>La Ley No. 91-05, que crea el Consejo Provincial para la Administración de los Fondos Mineros de la Provincia Sánchez Ramírez, dispone en su Artículo No. 4, Literales a y b, que el aporte del cinco por ciento (5%) establecido en la Ley General sobre Medio Ambiente y Recursos Naturales y en el Contrato Especial de Arrendamiento de Derechos Mineros, debe ser distribuido territorialmente según las siguientes proporciones:</w:t>
      </w:r>
    </w:p>
    <w:p w14:paraId="1921235B" w14:textId="206B5D05" w:rsidR="00923F63" w:rsidRPr="008E2D67" w:rsidRDefault="00923F63" w:rsidP="00A005CD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noProof/>
          <w:sz w:val="22"/>
          <w:szCs w:val="22"/>
          <w:lang w:val="es-DO" w:eastAsia="es-DO"/>
        </w:rPr>
        <w:drawing>
          <wp:anchor distT="0" distB="0" distL="114300" distR="114300" simplePos="0" relativeHeight="251658240" behindDoc="0" locked="0" layoutInCell="1" allowOverlap="1" wp14:anchorId="2793CDF5" wp14:editId="13F4BFA6">
            <wp:simplePos x="0" y="0"/>
            <wp:positionH relativeFrom="margin">
              <wp:posOffset>834390</wp:posOffset>
            </wp:positionH>
            <wp:positionV relativeFrom="paragraph">
              <wp:posOffset>151765</wp:posOffset>
            </wp:positionV>
            <wp:extent cx="3707130" cy="2171700"/>
            <wp:effectExtent l="0" t="0" r="762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703E2" w14:textId="5B27C988" w:rsidR="00647FBD" w:rsidRPr="008E2D67" w:rsidRDefault="00647FBD" w:rsidP="00A005CD">
      <w:pPr>
        <w:jc w:val="both"/>
        <w:rPr>
          <w:rFonts w:ascii="Calibri" w:hAnsi="Calibri"/>
          <w:color w:val="000000"/>
          <w:lang w:val="es-DO"/>
        </w:rPr>
      </w:pPr>
    </w:p>
    <w:p w14:paraId="12CCAC54" w14:textId="1CCDE3D7" w:rsidR="00647FBD" w:rsidRPr="008E2D67" w:rsidRDefault="00647FBD" w:rsidP="00A005CD">
      <w:pPr>
        <w:jc w:val="both"/>
        <w:rPr>
          <w:rFonts w:ascii="Calibri" w:hAnsi="Calibri"/>
          <w:color w:val="000000"/>
          <w:lang w:val="es-DO"/>
        </w:rPr>
      </w:pPr>
    </w:p>
    <w:p w14:paraId="50FBC0F8" w14:textId="77777777" w:rsidR="00647FBD" w:rsidRPr="008E2D67" w:rsidRDefault="00647FBD" w:rsidP="00A005CD">
      <w:pPr>
        <w:jc w:val="both"/>
        <w:rPr>
          <w:rFonts w:ascii="Calibri" w:hAnsi="Calibri"/>
          <w:color w:val="000000"/>
          <w:lang w:val="es-DO"/>
        </w:rPr>
      </w:pPr>
    </w:p>
    <w:p w14:paraId="6526DB9C" w14:textId="77777777" w:rsidR="00647FBD" w:rsidRPr="008E2D67" w:rsidRDefault="00647FBD" w:rsidP="00A005CD">
      <w:pPr>
        <w:jc w:val="both"/>
        <w:rPr>
          <w:rFonts w:ascii="Calibri" w:hAnsi="Calibri"/>
          <w:color w:val="000000"/>
          <w:lang w:val="es-DO"/>
        </w:rPr>
      </w:pPr>
    </w:p>
    <w:p w14:paraId="1EC3D0A2" w14:textId="77777777" w:rsidR="00647FBD" w:rsidRPr="008E2D67" w:rsidRDefault="00647FBD" w:rsidP="00A005CD">
      <w:pPr>
        <w:jc w:val="both"/>
        <w:rPr>
          <w:rFonts w:ascii="Calibri" w:hAnsi="Calibri"/>
          <w:color w:val="000000"/>
          <w:lang w:val="es-DO"/>
        </w:rPr>
      </w:pPr>
    </w:p>
    <w:p w14:paraId="59278BF9" w14:textId="77777777" w:rsidR="00647FBD" w:rsidRPr="008E2D67" w:rsidRDefault="00647FBD" w:rsidP="00A005CD">
      <w:pPr>
        <w:jc w:val="both"/>
        <w:rPr>
          <w:rFonts w:ascii="Calibri" w:hAnsi="Calibri"/>
          <w:color w:val="000000"/>
          <w:lang w:val="es-DO"/>
        </w:rPr>
      </w:pPr>
    </w:p>
    <w:p w14:paraId="5D31C757" w14:textId="77777777" w:rsidR="00647FBD" w:rsidRPr="008E2D67" w:rsidRDefault="00647FBD" w:rsidP="00A005CD">
      <w:pPr>
        <w:jc w:val="both"/>
        <w:rPr>
          <w:rFonts w:ascii="Calibri" w:hAnsi="Calibri"/>
          <w:color w:val="000000"/>
          <w:lang w:val="es-DO"/>
        </w:rPr>
      </w:pPr>
    </w:p>
    <w:p w14:paraId="59B9466C" w14:textId="77777777" w:rsidR="00647FBD" w:rsidRPr="008E2D67" w:rsidRDefault="00647FBD" w:rsidP="00A005CD">
      <w:pPr>
        <w:jc w:val="both"/>
        <w:rPr>
          <w:rFonts w:ascii="Calibri" w:hAnsi="Calibri"/>
          <w:color w:val="000000"/>
          <w:lang w:val="es-DO"/>
        </w:rPr>
      </w:pPr>
    </w:p>
    <w:p w14:paraId="33CF73B4" w14:textId="77777777" w:rsidR="00647FBD" w:rsidRPr="008E2D67" w:rsidRDefault="00647FBD" w:rsidP="00A005CD">
      <w:pPr>
        <w:jc w:val="both"/>
        <w:rPr>
          <w:rFonts w:ascii="Calibri" w:hAnsi="Calibri"/>
          <w:color w:val="000000"/>
          <w:lang w:val="es-DO"/>
        </w:rPr>
      </w:pPr>
    </w:p>
    <w:p w14:paraId="38968B65" w14:textId="77777777" w:rsidR="00647FBD" w:rsidRPr="008E2D67" w:rsidRDefault="00647FBD" w:rsidP="00A005CD">
      <w:pPr>
        <w:jc w:val="both"/>
        <w:rPr>
          <w:rFonts w:ascii="Calibri" w:hAnsi="Calibri"/>
          <w:color w:val="000000"/>
          <w:lang w:val="es-DO"/>
        </w:rPr>
      </w:pPr>
    </w:p>
    <w:p w14:paraId="026E74B7" w14:textId="77777777" w:rsidR="00647FBD" w:rsidRPr="008E2D67" w:rsidRDefault="00647FBD" w:rsidP="00A005CD">
      <w:pPr>
        <w:jc w:val="both"/>
        <w:rPr>
          <w:rFonts w:ascii="Calibri" w:hAnsi="Calibri"/>
          <w:color w:val="000000"/>
          <w:lang w:val="es-DO"/>
        </w:rPr>
      </w:pPr>
    </w:p>
    <w:p w14:paraId="40E365DC" w14:textId="5212CC1C" w:rsidR="00647FBD" w:rsidRPr="00391A7D" w:rsidRDefault="00647FBD" w:rsidP="00A005CD">
      <w:pPr>
        <w:jc w:val="both"/>
        <w:rPr>
          <w:rFonts w:ascii="Calibri" w:hAnsi="Calibri"/>
          <w:color w:val="000000"/>
          <w:sz w:val="20"/>
          <w:szCs w:val="20"/>
          <w:lang w:val="es-DO"/>
        </w:rPr>
      </w:pPr>
    </w:p>
    <w:p w14:paraId="2AE4EE5C" w14:textId="77777777" w:rsidR="00923F63" w:rsidRDefault="00923F63" w:rsidP="00A005CD">
      <w:pPr>
        <w:jc w:val="both"/>
        <w:rPr>
          <w:rFonts w:ascii="Calibri" w:hAnsi="Calibri"/>
          <w:color w:val="000000"/>
          <w:lang w:val="es-DO"/>
        </w:rPr>
      </w:pPr>
    </w:p>
    <w:p w14:paraId="756F15D7" w14:textId="27560AB1" w:rsidR="00647FBD" w:rsidRPr="008E2D67" w:rsidRDefault="00647FBD" w:rsidP="00A005CD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t xml:space="preserve">En el caso de que en la provincia Sánchez Ramírez se </w:t>
      </w:r>
      <w:r w:rsidR="00273AAC">
        <w:rPr>
          <w:rFonts w:ascii="Calibri" w:hAnsi="Calibri"/>
          <w:color w:val="000000"/>
          <w:lang w:val="es-DO"/>
        </w:rPr>
        <w:t>conforme</w:t>
      </w:r>
      <w:r w:rsidRPr="008E2D67">
        <w:rPr>
          <w:rFonts w:ascii="Calibri" w:hAnsi="Calibri"/>
          <w:color w:val="000000"/>
          <w:lang w:val="es-DO"/>
        </w:rPr>
        <w:t xml:space="preserve"> un nuevo municipio o distrito municipal, la Ley No. 91-05 señala que debe ser tomado en cuenta en el reparto del 40% de l</w:t>
      </w:r>
      <w:r w:rsidRPr="008E2D67">
        <w:rPr>
          <w:rFonts w:ascii="Calibri" w:hAnsi="Calibri"/>
          <w:i/>
          <w:color w:val="000000"/>
          <w:lang w:val="es-DO"/>
        </w:rPr>
        <w:t>os Demás Municipios que conforman esta provincia</w:t>
      </w:r>
      <w:r w:rsidRPr="008E2D67">
        <w:rPr>
          <w:rFonts w:ascii="Calibri" w:hAnsi="Calibri"/>
          <w:color w:val="000000"/>
          <w:lang w:val="es-DO"/>
        </w:rPr>
        <w:t>, distribuyéndose los fondos según la densidad poblacional de los municipios y distritos municipales correspondientes.</w:t>
      </w:r>
    </w:p>
    <w:p w14:paraId="40FF4DAD" w14:textId="77777777" w:rsidR="00A005CD" w:rsidRPr="008E2D67" w:rsidRDefault="00A005CD" w:rsidP="00A005CD">
      <w:pPr>
        <w:jc w:val="both"/>
        <w:rPr>
          <w:rFonts w:ascii="Calibri" w:hAnsi="Calibri"/>
          <w:color w:val="000000"/>
          <w:lang w:val="es-DO"/>
        </w:rPr>
      </w:pPr>
    </w:p>
    <w:p w14:paraId="41A5C1A1" w14:textId="7ED8A08D" w:rsidR="00647FBD" w:rsidRPr="008E2D67" w:rsidRDefault="00647FBD" w:rsidP="00A005CD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t xml:space="preserve">Por otro lado, el Reglamento No. 266-09, para la aplicación de la Ley No. 91-05, establece en su Artículo No. 39 que el Consejo Provincial de </w:t>
      </w:r>
      <w:proofErr w:type="spellStart"/>
      <w:r w:rsidRPr="008E2D67">
        <w:rPr>
          <w:rFonts w:ascii="Calibri" w:hAnsi="Calibri"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 contará con una Unidad Operativa, la cual estará encabezada por el </w:t>
      </w:r>
      <w:r w:rsidR="006A69F4" w:rsidRPr="008E2D67">
        <w:rPr>
          <w:rFonts w:ascii="Calibri" w:hAnsi="Calibri"/>
          <w:color w:val="000000"/>
          <w:lang w:val="es-DO"/>
        </w:rPr>
        <w:t>director ejecutivo</w:t>
      </w:r>
      <w:r w:rsidRPr="008E2D67">
        <w:rPr>
          <w:rFonts w:ascii="Calibri" w:hAnsi="Calibri"/>
          <w:color w:val="000000"/>
          <w:lang w:val="es-DO"/>
        </w:rPr>
        <w:t xml:space="preserve"> y responderá a la Junta de </w:t>
      </w:r>
      <w:r w:rsidR="006A3320" w:rsidRPr="008E2D67">
        <w:rPr>
          <w:rFonts w:ascii="Calibri" w:hAnsi="Calibri"/>
          <w:color w:val="000000"/>
          <w:lang w:val="es-DO"/>
        </w:rPr>
        <w:t>directores</w:t>
      </w:r>
      <w:r w:rsidRPr="008E2D67">
        <w:rPr>
          <w:rFonts w:ascii="Calibri" w:hAnsi="Calibri"/>
          <w:color w:val="000000"/>
          <w:lang w:val="es-DO"/>
        </w:rPr>
        <w:t xml:space="preserve">. El Artículo No. 45 de </w:t>
      </w:r>
      <w:r w:rsidR="00273AAC">
        <w:rPr>
          <w:rFonts w:ascii="Calibri" w:hAnsi="Calibri"/>
          <w:color w:val="000000"/>
          <w:lang w:val="es-DO"/>
        </w:rPr>
        <w:t>dicho</w:t>
      </w:r>
      <w:r w:rsidRPr="008E2D67">
        <w:rPr>
          <w:rFonts w:ascii="Calibri" w:hAnsi="Calibri"/>
          <w:color w:val="000000"/>
          <w:lang w:val="es-DO"/>
        </w:rPr>
        <w:t xml:space="preserve"> Reglamento</w:t>
      </w:r>
      <w:r w:rsidR="00783335">
        <w:rPr>
          <w:rFonts w:ascii="Calibri" w:hAnsi="Calibri"/>
          <w:color w:val="000000"/>
          <w:lang w:val="es-DO"/>
        </w:rPr>
        <w:t>,</w:t>
      </w:r>
      <w:r w:rsidRPr="008E2D67">
        <w:rPr>
          <w:rFonts w:ascii="Calibri" w:hAnsi="Calibri"/>
          <w:color w:val="000000"/>
          <w:lang w:val="es-DO"/>
        </w:rPr>
        <w:t xml:space="preserve"> estipula que esta Unidad se financiará a través de los recursos de los Fondos Mineros, según una asignación anual aprobada por </w:t>
      </w:r>
      <w:r w:rsidRPr="008C3BC9">
        <w:rPr>
          <w:rFonts w:ascii="Calibri" w:hAnsi="Calibri"/>
          <w:color w:val="000000" w:themeColor="text1"/>
          <w:lang w:val="es-DO"/>
        </w:rPr>
        <w:t xml:space="preserve">la Junta de </w:t>
      </w:r>
      <w:r w:rsidR="006A69F4" w:rsidRPr="008C3BC9">
        <w:rPr>
          <w:rFonts w:ascii="Calibri" w:hAnsi="Calibri"/>
          <w:color w:val="000000" w:themeColor="text1"/>
          <w:lang w:val="es-DO"/>
        </w:rPr>
        <w:t>directores</w:t>
      </w:r>
      <w:r w:rsidRPr="008C3BC9">
        <w:rPr>
          <w:rFonts w:ascii="Calibri" w:hAnsi="Calibri"/>
          <w:color w:val="000000" w:themeColor="text1"/>
          <w:lang w:val="es-DO"/>
        </w:rPr>
        <w:t>, sin que el mismo establezca alguna restricción o tope de asignación. Es importante destacar que</w:t>
      </w:r>
      <w:r w:rsidR="008C3BC9" w:rsidRPr="008C3BC9">
        <w:rPr>
          <w:rFonts w:ascii="Calibri" w:hAnsi="Calibri"/>
          <w:color w:val="000000" w:themeColor="text1"/>
          <w:lang w:val="es-DO"/>
        </w:rPr>
        <w:t>,</w:t>
      </w:r>
      <w:r w:rsidRPr="008C3BC9">
        <w:rPr>
          <w:rFonts w:ascii="Calibri" w:hAnsi="Calibri"/>
          <w:color w:val="000000" w:themeColor="text1"/>
          <w:lang w:val="es-DO"/>
        </w:rPr>
        <w:t xml:space="preserve"> la asignación territorial </w:t>
      </w:r>
      <w:r w:rsidR="001700CB" w:rsidRPr="008C3BC9">
        <w:rPr>
          <w:rFonts w:ascii="Calibri" w:hAnsi="Calibri"/>
          <w:color w:val="000000" w:themeColor="text1"/>
          <w:lang w:val="es-DO"/>
        </w:rPr>
        <w:t>ha de ser</w:t>
      </w:r>
      <w:r w:rsidRPr="008C3BC9">
        <w:rPr>
          <w:rFonts w:ascii="Calibri" w:hAnsi="Calibri"/>
          <w:color w:val="000000" w:themeColor="text1"/>
          <w:lang w:val="es-DO"/>
        </w:rPr>
        <w:t xml:space="preserve"> realizada luego de que se descuenten los costos operativos </w:t>
      </w:r>
      <w:r w:rsidR="001700CB" w:rsidRPr="008C3BC9">
        <w:rPr>
          <w:rFonts w:ascii="Calibri" w:hAnsi="Calibri"/>
          <w:color w:val="000000" w:themeColor="text1"/>
          <w:lang w:val="es-DO"/>
        </w:rPr>
        <w:t xml:space="preserve">de la Unidad Operativa, </w:t>
      </w:r>
      <w:r w:rsidRPr="008C3BC9">
        <w:rPr>
          <w:rFonts w:ascii="Calibri" w:hAnsi="Calibri"/>
          <w:color w:val="000000" w:themeColor="text1"/>
          <w:lang w:val="es-DO"/>
        </w:rPr>
        <w:t>del total de recursos.</w:t>
      </w:r>
    </w:p>
    <w:p w14:paraId="30525B98" w14:textId="77777777" w:rsidR="00A005CD" w:rsidRPr="008E2D67" w:rsidRDefault="00A005CD" w:rsidP="00A005CD">
      <w:pPr>
        <w:jc w:val="both"/>
        <w:rPr>
          <w:rFonts w:ascii="Calibri" w:hAnsi="Calibri"/>
          <w:color w:val="000000"/>
          <w:lang w:val="es-DO"/>
        </w:rPr>
      </w:pPr>
    </w:p>
    <w:p w14:paraId="0F022651" w14:textId="0F5C0E82" w:rsidR="00647FBD" w:rsidRPr="008C3BC9" w:rsidRDefault="008C3BC9" w:rsidP="00A005CD">
      <w:pPr>
        <w:jc w:val="both"/>
        <w:rPr>
          <w:rFonts w:ascii="Calibri" w:hAnsi="Calibri"/>
          <w:color w:val="000000" w:themeColor="text1"/>
          <w:lang w:val="es-DO"/>
        </w:rPr>
      </w:pPr>
      <w:r>
        <w:rPr>
          <w:rFonts w:ascii="Calibri" w:hAnsi="Calibri"/>
          <w:color w:val="000000" w:themeColor="text1"/>
          <w:lang w:val="es-DO"/>
        </w:rPr>
        <w:lastRenderedPageBreak/>
        <w:t>Por su parte</w:t>
      </w:r>
      <w:r w:rsidR="008D1F75" w:rsidRPr="008C3BC9">
        <w:rPr>
          <w:rFonts w:ascii="Calibri" w:hAnsi="Calibri"/>
          <w:color w:val="000000" w:themeColor="text1"/>
          <w:lang w:val="es-DO"/>
        </w:rPr>
        <w:t>,</w:t>
      </w:r>
      <w:r w:rsidR="00C5298C" w:rsidRPr="008C3BC9">
        <w:rPr>
          <w:rFonts w:ascii="Calibri" w:hAnsi="Calibri"/>
          <w:color w:val="000000" w:themeColor="text1"/>
          <w:lang w:val="es-DO"/>
        </w:rPr>
        <w:t xml:space="preserve"> </w:t>
      </w:r>
      <w:r w:rsidR="00647FBD" w:rsidRPr="008C3BC9">
        <w:rPr>
          <w:rFonts w:ascii="Calibri" w:hAnsi="Calibri"/>
          <w:color w:val="000000" w:themeColor="text1"/>
          <w:lang w:val="es-DO"/>
        </w:rPr>
        <w:t>la Ley No. 236-14 del 16 de julio de 2014, que convierte al Instituto Tecnológico del Cibao Oriental (</w:t>
      </w:r>
      <w:proofErr w:type="spellStart"/>
      <w:r w:rsidR="00647FBD" w:rsidRPr="008C3BC9">
        <w:rPr>
          <w:rFonts w:ascii="Calibri" w:hAnsi="Calibri"/>
          <w:color w:val="000000" w:themeColor="text1"/>
          <w:lang w:val="es-DO"/>
        </w:rPr>
        <w:t>ITECO</w:t>
      </w:r>
      <w:proofErr w:type="spellEnd"/>
      <w:r w:rsidR="00647FBD" w:rsidRPr="008C3BC9">
        <w:rPr>
          <w:rFonts w:ascii="Calibri" w:hAnsi="Calibri"/>
          <w:color w:val="000000" w:themeColor="text1"/>
          <w:lang w:val="es-DO"/>
        </w:rPr>
        <w:t>) en Universidad Estatal (</w:t>
      </w:r>
      <w:proofErr w:type="spellStart"/>
      <w:r w:rsidR="00647FBD" w:rsidRPr="008C3BC9">
        <w:rPr>
          <w:rFonts w:ascii="Calibri" w:hAnsi="Calibri"/>
          <w:color w:val="000000" w:themeColor="text1"/>
          <w:lang w:val="es-DO"/>
        </w:rPr>
        <w:t>UTECO</w:t>
      </w:r>
      <w:proofErr w:type="spellEnd"/>
      <w:r w:rsidR="00647FBD" w:rsidRPr="008C3BC9">
        <w:rPr>
          <w:rFonts w:ascii="Calibri" w:hAnsi="Calibri"/>
          <w:color w:val="000000" w:themeColor="text1"/>
          <w:lang w:val="es-DO"/>
        </w:rPr>
        <w:t xml:space="preserve">), </w:t>
      </w:r>
      <w:r w:rsidR="00C5298C" w:rsidRPr="008C3BC9">
        <w:rPr>
          <w:rFonts w:ascii="Calibri" w:hAnsi="Calibri"/>
          <w:color w:val="000000" w:themeColor="text1"/>
          <w:lang w:val="es-DO"/>
        </w:rPr>
        <w:t>particularmente en</w:t>
      </w:r>
      <w:r w:rsidR="00647FBD" w:rsidRPr="008C3BC9">
        <w:rPr>
          <w:rFonts w:ascii="Calibri" w:hAnsi="Calibri"/>
          <w:color w:val="000000" w:themeColor="text1"/>
          <w:lang w:val="es-DO"/>
        </w:rPr>
        <w:t xml:space="preserve"> su Artículo No. 31, Literal 4</w:t>
      </w:r>
      <w:r w:rsidR="008D1F75" w:rsidRPr="008C3BC9">
        <w:rPr>
          <w:rFonts w:ascii="Calibri" w:hAnsi="Calibri"/>
          <w:color w:val="000000" w:themeColor="text1"/>
          <w:lang w:val="es-DO"/>
        </w:rPr>
        <w:t>;</w:t>
      </w:r>
      <w:r w:rsidR="00647FBD" w:rsidRPr="008C3BC9">
        <w:rPr>
          <w:rFonts w:ascii="Calibri" w:hAnsi="Calibri"/>
          <w:color w:val="000000" w:themeColor="text1"/>
          <w:lang w:val="es-DO"/>
        </w:rPr>
        <w:t xml:space="preserve"> </w:t>
      </w:r>
      <w:r w:rsidR="008D1F75" w:rsidRPr="008C3BC9">
        <w:rPr>
          <w:rFonts w:ascii="Calibri" w:hAnsi="Calibri"/>
          <w:color w:val="000000" w:themeColor="text1"/>
          <w:lang w:val="es-DO"/>
        </w:rPr>
        <w:t>establece</w:t>
      </w:r>
      <w:r w:rsidR="005F229B" w:rsidRPr="008C3BC9">
        <w:rPr>
          <w:rFonts w:ascii="Calibri" w:hAnsi="Calibri"/>
          <w:color w:val="000000" w:themeColor="text1"/>
          <w:lang w:val="es-DO"/>
        </w:rPr>
        <w:t>,</w:t>
      </w:r>
      <w:r w:rsidR="008D1F75" w:rsidRPr="008C3BC9">
        <w:rPr>
          <w:rFonts w:ascii="Calibri" w:hAnsi="Calibri"/>
          <w:color w:val="000000" w:themeColor="text1"/>
          <w:lang w:val="es-DO"/>
        </w:rPr>
        <w:t xml:space="preserve"> entre </w:t>
      </w:r>
      <w:r w:rsidR="00647FBD" w:rsidRPr="008C3BC9">
        <w:rPr>
          <w:rFonts w:ascii="Calibri" w:hAnsi="Calibri"/>
          <w:color w:val="000000" w:themeColor="text1"/>
          <w:lang w:val="es-DO"/>
        </w:rPr>
        <w:t xml:space="preserve">las fuentes de ingreso de </w:t>
      </w:r>
      <w:proofErr w:type="spellStart"/>
      <w:r w:rsidR="008D1F75" w:rsidRPr="008C3BC9">
        <w:rPr>
          <w:rFonts w:ascii="Calibri" w:hAnsi="Calibri"/>
          <w:color w:val="000000" w:themeColor="text1"/>
          <w:lang w:val="es-DO"/>
        </w:rPr>
        <w:t>UTECO</w:t>
      </w:r>
      <w:proofErr w:type="spellEnd"/>
      <w:r w:rsidR="005F229B" w:rsidRPr="008C3BC9">
        <w:rPr>
          <w:rFonts w:ascii="Calibri" w:hAnsi="Calibri"/>
          <w:color w:val="000000" w:themeColor="text1"/>
          <w:lang w:val="es-DO"/>
        </w:rPr>
        <w:t>,</w:t>
      </w:r>
      <w:r w:rsidR="00647FBD" w:rsidRPr="008C3BC9">
        <w:rPr>
          <w:rFonts w:ascii="Calibri" w:hAnsi="Calibri"/>
          <w:color w:val="000000" w:themeColor="text1"/>
          <w:lang w:val="es-DO"/>
        </w:rPr>
        <w:t xml:space="preserve"> una partida proveniente de los fondos que reciba el Consejo Provincial para la Administración de los Fondos Mineros</w:t>
      </w:r>
      <w:r w:rsidR="008D1F75" w:rsidRPr="008C3BC9">
        <w:rPr>
          <w:rFonts w:ascii="Calibri" w:hAnsi="Calibri"/>
          <w:color w:val="000000" w:themeColor="text1"/>
          <w:lang w:val="es-DO"/>
        </w:rPr>
        <w:t>,</w:t>
      </w:r>
      <w:r w:rsidR="00647FBD" w:rsidRPr="008C3BC9">
        <w:rPr>
          <w:rFonts w:ascii="Calibri" w:hAnsi="Calibri"/>
          <w:color w:val="000000" w:themeColor="text1"/>
          <w:lang w:val="es-DO"/>
        </w:rPr>
        <w:t xml:space="preserve"> </w:t>
      </w:r>
      <w:r w:rsidR="008D1F75" w:rsidRPr="008C3BC9">
        <w:rPr>
          <w:rFonts w:ascii="Calibri" w:hAnsi="Calibri"/>
          <w:color w:val="000000" w:themeColor="text1"/>
          <w:lang w:val="es-DO"/>
        </w:rPr>
        <w:t>conforme</w:t>
      </w:r>
      <w:r w:rsidR="00647FBD" w:rsidRPr="008C3BC9">
        <w:rPr>
          <w:rFonts w:ascii="Calibri" w:hAnsi="Calibri"/>
          <w:color w:val="000000" w:themeColor="text1"/>
          <w:lang w:val="es-DO"/>
        </w:rPr>
        <w:t xml:space="preserve"> se cita a continuación: </w:t>
      </w:r>
    </w:p>
    <w:p w14:paraId="62888F16" w14:textId="77777777" w:rsidR="00A005CD" w:rsidRPr="008C3BC9" w:rsidRDefault="00A005CD" w:rsidP="00A005CD">
      <w:pPr>
        <w:jc w:val="both"/>
        <w:rPr>
          <w:rFonts w:ascii="Calibri" w:hAnsi="Calibri"/>
          <w:color w:val="000000" w:themeColor="text1"/>
          <w:lang w:val="es-DO"/>
        </w:rPr>
      </w:pPr>
    </w:p>
    <w:p w14:paraId="6084A952" w14:textId="76DAE1A2" w:rsidR="00647FBD" w:rsidRPr="008E2D67" w:rsidRDefault="00647FBD" w:rsidP="00A005CD">
      <w:pPr>
        <w:jc w:val="both"/>
        <w:rPr>
          <w:rFonts w:ascii="Calibri" w:hAnsi="Calibri"/>
          <w:i/>
          <w:color w:val="000000"/>
          <w:lang w:val="es-DO"/>
        </w:rPr>
      </w:pPr>
      <w:r w:rsidRPr="008E2D67">
        <w:rPr>
          <w:rFonts w:ascii="Calibri" w:hAnsi="Calibri"/>
          <w:i/>
          <w:color w:val="000000"/>
          <w:lang w:val="es-DO"/>
        </w:rPr>
        <w:t>“Los primeros cuatro (4) años recibirá el cinco por ciento (5%) de los fondos que recibe el Consejo Provincial para la Administración de los Fondos Mineros (</w:t>
      </w:r>
      <w:proofErr w:type="spellStart"/>
      <w:r w:rsidRPr="008E2D67">
        <w:rPr>
          <w:rFonts w:ascii="Calibri" w:hAnsi="Calibri"/>
          <w:i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i/>
          <w:color w:val="000000"/>
          <w:lang w:val="es-DO"/>
        </w:rPr>
        <w:t>), los años subsiguientes se incrementará en un diez por ciento (10%) hasta agotarse los beneficios recibidos por la explotación minera de la provincia Sánchez Ramírez”</w:t>
      </w:r>
      <w:r w:rsidR="00782FD6">
        <w:rPr>
          <w:rFonts w:ascii="Calibri" w:hAnsi="Calibri"/>
          <w:i/>
          <w:color w:val="000000"/>
          <w:lang w:val="es-DO"/>
        </w:rPr>
        <w:t xml:space="preserve">. </w:t>
      </w:r>
    </w:p>
    <w:p w14:paraId="38B78DFF" w14:textId="77777777" w:rsidR="00A005CD" w:rsidRPr="008E2D67" w:rsidRDefault="00A005CD" w:rsidP="00A005CD">
      <w:pPr>
        <w:jc w:val="both"/>
        <w:rPr>
          <w:rFonts w:ascii="Calibri" w:hAnsi="Calibri"/>
          <w:i/>
          <w:color w:val="000000"/>
          <w:lang w:val="es-DO"/>
        </w:rPr>
      </w:pPr>
    </w:p>
    <w:p w14:paraId="4CA7BCFF" w14:textId="71289648" w:rsidR="00A005CD" w:rsidRDefault="00647FBD" w:rsidP="00A005CD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t xml:space="preserve">Luego de </w:t>
      </w:r>
      <w:r w:rsidR="00082D05">
        <w:rPr>
          <w:rFonts w:ascii="Calibri" w:hAnsi="Calibri"/>
          <w:color w:val="000000"/>
          <w:lang w:val="es-DO"/>
        </w:rPr>
        <w:t>considerar</w:t>
      </w:r>
      <w:r w:rsidRPr="008E2D67">
        <w:rPr>
          <w:rFonts w:ascii="Calibri" w:hAnsi="Calibri"/>
          <w:color w:val="000000"/>
          <w:lang w:val="es-DO"/>
        </w:rPr>
        <w:t xml:space="preserve"> las disposiciones legales relacionadas con la distribución de los recursos que reciba el Consejo Provincial de </w:t>
      </w:r>
      <w:proofErr w:type="spellStart"/>
      <w:r w:rsidRPr="008E2D67">
        <w:rPr>
          <w:rFonts w:ascii="Calibri" w:hAnsi="Calibri"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, por </w:t>
      </w:r>
      <w:r w:rsidR="00082D05">
        <w:rPr>
          <w:rFonts w:ascii="Calibri" w:hAnsi="Calibri"/>
          <w:color w:val="000000"/>
          <w:lang w:val="es-DO"/>
        </w:rPr>
        <w:t>concepto</w:t>
      </w:r>
      <w:r w:rsidRPr="008E2D67">
        <w:rPr>
          <w:rFonts w:ascii="Calibri" w:hAnsi="Calibri"/>
          <w:color w:val="000000"/>
          <w:lang w:val="es-DO"/>
        </w:rPr>
        <w:t xml:space="preserve"> </w:t>
      </w:r>
      <w:r w:rsidR="000C0390">
        <w:rPr>
          <w:rFonts w:ascii="Calibri" w:hAnsi="Calibri"/>
          <w:color w:val="000000"/>
          <w:lang w:val="es-DO"/>
        </w:rPr>
        <w:t xml:space="preserve">del </w:t>
      </w:r>
      <w:r w:rsidRPr="008E2D67">
        <w:rPr>
          <w:rFonts w:ascii="Calibri" w:hAnsi="Calibri"/>
          <w:color w:val="000000"/>
          <w:lang w:val="es-DO"/>
        </w:rPr>
        <w:t xml:space="preserve">cinco por ciento (5%) </w:t>
      </w:r>
      <w:r w:rsidR="000C0390">
        <w:rPr>
          <w:rFonts w:ascii="Calibri" w:hAnsi="Calibri"/>
          <w:color w:val="000000"/>
          <w:lang w:val="es-DO"/>
        </w:rPr>
        <w:t xml:space="preserve">a los municipios estipulado </w:t>
      </w:r>
      <w:r w:rsidRPr="008E2D67">
        <w:rPr>
          <w:rFonts w:ascii="Calibri" w:hAnsi="Calibri"/>
          <w:color w:val="000000"/>
          <w:lang w:val="es-DO"/>
        </w:rPr>
        <w:t xml:space="preserve">en la Ley No. 64-00 y el </w:t>
      </w:r>
      <w:proofErr w:type="spellStart"/>
      <w:r w:rsidRPr="008E2D67">
        <w:rPr>
          <w:rFonts w:ascii="Calibri" w:hAnsi="Calibri"/>
          <w:color w:val="000000"/>
          <w:lang w:val="es-DO"/>
        </w:rPr>
        <w:t>CEAM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, según </w:t>
      </w:r>
      <w:r w:rsidR="000C0390">
        <w:rPr>
          <w:rFonts w:ascii="Calibri" w:hAnsi="Calibri"/>
          <w:color w:val="000000"/>
          <w:lang w:val="es-DO"/>
        </w:rPr>
        <w:t>lo expuesto</w:t>
      </w:r>
      <w:r w:rsidRPr="008E2D67">
        <w:rPr>
          <w:rFonts w:ascii="Calibri" w:hAnsi="Calibri"/>
          <w:color w:val="000000"/>
          <w:lang w:val="es-DO"/>
        </w:rPr>
        <w:t xml:space="preserve"> en los párrafos precedentes; la Tabla No. 2.1.1 que </w:t>
      </w:r>
      <w:r w:rsidR="005F229B">
        <w:rPr>
          <w:rFonts w:ascii="Calibri" w:hAnsi="Calibri"/>
          <w:color w:val="000000"/>
          <w:lang w:val="es-DO"/>
        </w:rPr>
        <w:t xml:space="preserve">se presenta </w:t>
      </w:r>
      <w:r w:rsidRPr="008E2D67">
        <w:rPr>
          <w:rFonts w:ascii="Calibri" w:hAnsi="Calibri"/>
          <w:color w:val="000000"/>
          <w:lang w:val="es-DO"/>
        </w:rPr>
        <w:t xml:space="preserve">a continuación, </w:t>
      </w:r>
      <w:r w:rsidR="000C0390">
        <w:rPr>
          <w:rFonts w:ascii="Calibri" w:hAnsi="Calibri"/>
          <w:color w:val="000000"/>
          <w:lang w:val="es-DO"/>
        </w:rPr>
        <w:t>detalla</w:t>
      </w:r>
      <w:r w:rsidRPr="008E2D67">
        <w:rPr>
          <w:rFonts w:ascii="Calibri" w:hAnsi="Calibri"/>
          <w:color w:val="000000"/>
          <w:lang w:val="es-DO"/>
        </w:rPr>
        <w:t xml:space="preserve"> </w:t>
      </w:r>
      <w:r w:rsidR="005F229B">
        <w:rPr>
          <w:rFonts w:ascii="Calibri" w:hAnsi="Calibri"/>
          <w:color w:val="000000"/>
          <w:lang w:val="es-DO"/>
        </w:rPr>
        <w:t xml:space="preserve">las ponderaciones de referencia </w:t>
      </w:r>
      <w:r w:rsidR="004C5CA0">
        <w:rPr>
          <w:rFonts w:ascii="Calibri" w:hAnsi="Calibri"/>
          <w:color w:val="000000"/>
          <w:lang w:val="es-DO"/>
        </w:rPr>
        <w:t>que sirven de base al análisis</w:t>
      </w:r>
      <w:r w:rsidR="005F229B">
        <w:rPr>
          <w:rFonts w:ascii="Calibri" w:hAnsi="Calibri"/>
          <w:color w:val="000000"/>
          <w:lang w:val="es-DO"/>
        </w:rPr>
        <w:t xml:space="preserve"> en torno a la</w:t>
      </w:r>
      <w:r w:rsidRPr="008E2D67">
        <w:rPr>
          <w:rFonts w:ascii="Calibri" w:hAnsi="Calibri"/>
          <w:color w:val="000000"/>
          <w:lang w:val="es-DO"/>
        </w:rPr>
        <w:t xml:space="preserve"> asignación de fondos en cada una de las partidas, incluyendo los municipios y distritos municipales.</w:t>
      </w:r>
    </w:p>
    <w:p w14:paraId="169B24E3" w14:textId="4CEE8290" w:rsidR="008C3BC9" w:rsidRPr="008E2D67" w:rsidRDefault="008C3BC9" w:rsidP="00A005CD">
      <w:pPr>
        <w:jc w:val="both"/>
        <w:rPr>
          <w:rFonts w:ascii="Calibri" w:hAnsi="Calibri"/>
          <w:color w:val="000000"/>
          <w:lang w:val="es-DO"/>
        </w:rPr>
      </w:pPr>
    </w:p>
    <w:p w14:paraId="601CE9DC" w14:textId="23F3AE6C" w:rsidR="00647FBD" w:rsidRPr="008E2D67" w:rsidRDefault="00647FBD" w:rsidP="00A005C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>Tabla No. 2.1.1</w:t>
      </w:r>
    </w:p>
    <w:p w14:paraId="50447DF4" w14:textId="2F4B1F5D" w:rsidR="00647FBD" w:rsidRPr="008E2D67" w:rsidRDefault="00647FBD" w:rsidP="00A005C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 xml:space="preserve">Ponderaciones de Referencia para la Asignación de los Fondos Recibidos por el </w:t>
      </w:r>
    </w:p>
    <w:p w14:paraId="2FDD5753" w14:textId="61B8D1CA" w:rsidR="00724F13" w:rsidRDefault="00647FBD" w:rsidP="00563D65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>Consejo Provincial para la Administración de los Fondos Mineros (</w:t>
      </w:r>
      <w:proofErr w:type="spellStart"/>
      <w:r w:rsidRPr="008E2D67">
        <w:rPr>
          <w:rFonts w:ascii="Calibri" w:hAnsi="Calibri"/>
          <w:b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b/>
          <w:color w:val="000000"/>
          <w:lang w:val="es-DO"/>
        </w:rPr>
        <w:t>)</w:t>
      </w:r>
    </w:p>
    <w:p w14:paraId="24EE988B" w14:textId="77777777" w:rsidR="00B04CD8" w:rsidRPr="00563D65" w:rsidRDefault="00B04CD8" w:rsidP="00563D65">
      <w:pPr>
        <w:jc w:val="center"/>
        <w:rPr>
          <w:rFonts w:ascii="Calibri" w:hAnsi="Calibri"/>
          <w:b/>
          <w:color w:val="000000"/>
          <w:lang w:val="es-DO"/>
        </w:rPr>
      </w:pPr>
    </w:p>
    <w:p w14:paraId="32E25EDF" w14:textId="2BF70EAE" w:rsidR="008C3BC9" w:rsidRDefault="00B04CD8" w:rsidP="00A005CD">
      <w:pPr>
        <w:jc w:val="both"/>
        <w:rPr>
          <w:rFonts w:ascii="Calibri" w:hAnsi="Calibri"/>
          <w:color w:val="000000"/>
          <w:lang w:val="es-DO"/>
        </w:rPr>
      </w:pPr>
      <w:r w:rsidRPr="00B04CD8">
        <w:rPr>
          <w:noProof/>
        </w:rPr>
        <w:drawing>
          <wp:inline distT="0" distB="0" distL="0" distR="0" wp14:anchorId="0FE37CF4" wp14:editId="5DD2BDD3">
            <wp:extent cx="5247516" cy="3954483"/>
            <wp:effectExtent l="0" t="0" r="0" b="8255"/>
            <wp:docPr id="12901477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27" cy="39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8CFE7" w14:textId="57FC98C6" w:rsidR="008C3BC9" w:rsidRDefault="008C3BC9" w:rsidP="00A005CD">
      <w:pPr>
        <w:jc w:val="both"/>
        <w:rPr>
          <w:rFonts w:ascii="Calibri" w:hAnsi="Calibri"/>
          <w:color w:val="000000"/>
          <w:lang w:val="es-DO"/>
        </w:rPr>
      </w:pPr>
    </w:p>
    <w:p w14:paraId="107DC531" w14:textId="4402936F" w:rsidR="008C3BC9" w:rsidRDefault="008C3BC9" w:rsidP="00A005CD">
      <w:pPr>
        <w:jc w:val="both"/>
        <w:rPr>
          <w:rFonts w:ascii="Calibri" w:hAnsi="Calibri"/>
          <w:color w:val="000000"/>
          <w:lang w:val="es-DO"/>
        </w:rPr>
      </w:pPr>
    </w:p>
    <w:p w14:paraId="2EC69253" w14:textId="63200962" w:rsidR="003A5CDF" w:rsidRDefault="00FD235F" w:rsidP="00A005CD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 xml:space="preserve">La </w:t>
      </w:r>
      <w:r w:rsidR="00647FBD" w:rsidRPr="008E2D67">
        <w:rPr>
          <w:rFonts w:ascii="Calibri" w:hAnsi="Calibri"/>
          <w:color w:val="000000"/>
          <w:lang w:val="es-DO"/>
        </w:rPr>
        <w:t>primera línea</w:t>
      </w:r>
      <w:r>
        <w:rPr>
          <w:rFonts w:ascii="Calibri" w:hAnsi="Calibri"/>
          <w:color w:val="000000"/>
          <w:lang w:val="es-DO"/>
        </w:rPr>
        <w:t xml:space="preserve"> de l</w:t>
      </w:r>
      <w:r w:rsidRPr="008E2D67">
        <w:rPr>
          <w:rFonts w:ascii="Calibri" w:hAnsi="Calibri"/>
          <w:color w:val="000000"/>
          <w:lang w:val="es-DO"/>
        </w:rPr>
        <w:t xml:space="preserve">a tabla </w:t>
      </w:r>
      <w:r w:rsidR="00F56CD8" w:rsidRPr="008E2D67">
        <w:rPr>
          <w:rFonts w:ascii="Calibri" w:hAnsi="Calibri"/>
          <w:color w:val="000000"/>
          <w:lang w:val="es-DO"/>
        </w:rPr>
        <w:t>anterior</w:t>
      </w:r>
      <w:r>
        <w:rPr>
          <w:rFonts w:ascii="Calibri" w:hAnsi="Calibri"/>
          <w:color w:val="000000"/>
          <w:lang w:val="es-DO"/>
        </w:rPr>
        <w:t xml:space="preserve"> se refiere</w:t>
      </w:r>
      <w:r w:rsidR="00647FBD" w:rsidRPr="008E2D67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 xml:space="preserve">a </w:t>
      </w:r>
      <w:r w:rsidR="00647FBD" w:rsidRPr="008E2D67">
        <w:rPr>
          <w:rFonts w:ascii="Calibri" w:hAnsi="Calibri"/>
          <w:color w:val="000000"/>
          <w:lang w:val="es-DO"/>
        </w:rPr>
        <w:t>la asignación de un cinco por ciento (5</w:t>
      </w:r>
      <w:r w:rsidR="00E329A3">
        <w:rPr>
          <w:rFonts w:ascii="Calibri" w:hAnsi="Calibri"/>
          <w:color w:val="000000"/>
          <w:lang w:val="es-DO"/>
        </w:rPr>
        <w:t xml:space="preserve"> </w:t>
      </w:r>
      <w:r w:rsidR="00647FBD" w:rsidRPr="008E2D67">
        <w:rPr>
          <w:rFonts w:ascii="Calibri" w:hAnsi="Calibri"/>
          <w:color w:val="000000"/>
          <w:lang w:val="es-DO"/>
        </w:rPr>
        <w:t>%) a favor de la Universidad Estatal del Cibao Oriental (</w:t>
      </w:r>
      <w:proofErr w:type="spellStart"/>
      <w:r w:rsidR="00647FBD" w:rsidRPr="008E2D67">
        <w:rPr>
          <w:rFonts w:ascii="Calibri" w:hAnsi="Calibri"/>
          <w:color w:val="000000"/>
          <w:lang w:val="es-DO"/>
        </w:rPr>
        <w:t>UTECO</w:t>
      </w:r>
      <w:proofErr w:type="spellEnd"/>
      <w:r w:rsidR="00647FBD" w:rsidRPr="008E2D67">
        <w:rPr>
          <w:rFonts w:ascii="Calibri" w:hAnsi="Calibri"/>
          <w:color w:val="000000"/>
          <w:lang w:val="es-DO"/>
        </w:rPr>
        <w:t>)</w:t>
      </w:r>
      <w:r>
        <w:rPr>
          <w:rFonts w:ascii="Calibri" w:hAnsi="Calibri"/>
          <w:color w:val="000000"/>
          <w:lang w:val="es-DO"/>
        </w:rPr>
        <w:t xml:space="preserve">, con </w:t>
      </w:r>
      <w:r w:rsidR="007D024E" w:rsidRPr="008E2D67">
        <w:rPr>
          <w:rFonts w:ascii="Calibri" w:hAnsi="Calibri"/>
          <w:color w:val="000000"/>
          <w:lang w:val="es-DO"/>
        </w:rPr>
        <w:t>un aumento gradual de 10</w:t>
      </w:r>
      <w:r w:rsidR="00E329A3">
        <w:rPr>
          <w:rFonts w:ascii="Calibri" w:hAnsi="Calibri"/>
          <w:color w:val="000000"/>
          <w:lang w:val="es-DO"/>
        </w:rPr>
        <w:t xml:space="preserve"> </w:t>
      </w:r>
      <w:r w:rsidR="007D024E" w:rsidRPr="008E2D67">
        <w:rPr>
          <w:rFonts w:ascii="Calibri" w:hAnsi="Calibri"/>
          <w:color w:val="000000"/>
          <w:lang w:val="es-DO"/>
        </w:rPr>
        <w:t>%</w:t>
      </w:r>
      <w:r w:rsidR="00647F95" w:rsidRPr="008E2D67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 xml:space="preserve">a partir del </w:t>
      </w:r>
      <w:proofErr w:type="spellStart"/>
      <w:r>
        <w:rPr>
          <w:rFonts w:ascii="Calibri" w:hAnsi="Calibri"/>
          <w:color w:val="000000"/>
          <w:lang w:val="es-DO"/>
        </w:rPr>
        <w:t>5to</w:t>
      </w:r>
      <w:proofErr w:type="spellEnd"/>
      <w:r>
        <w:rPr>
          <w:rFonts w:ascii="Calibri" w:hAnsi="Calibri"/>
          <w:color w:val="000000"/>
          <w:lang w:val="es-DO"/>
        </w:rPr>
        <w:t>.</w:t>
      </w:r>
      <w:r w:rsidR="00647F95" w:rsidRPr="008E2D67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>a</w:t>
      </w:r>
      <w:r w:rsidR="00647F95" w:rsidRPr="008E2D67">
        <w:rPr>
          <w:rFonts w:ascii="Calibri" w:hAnsi="Calibri"/>
          <w:color w:val="000000"/>
          <w:lang w:val="es-DO"/>
        </w:rPr>
        <w:t>ño</w:t>
      </w:r>
      <w:r>
        <w:rPr>
          <w:rFonts w:ascii="Calibri" w:hAnsi="Calibri"/>
          <w:color w:val="000000"/>
          <w:lang w:val="es-DO"/>
        </w:rPr>
        <w:t xml:space="preserve"> del establecimiento de </w:t>
      </w:r>
      <w:r w:rsidR="00647FBD" w:rsidRPr="008E2D67">
        <w:rPr>
          <w:rFonts w:ascii="Calibri" w:hAnsi="Calibri"/>
          <w:color w:val="000000"/>
          <w:lang w:val="es-DO"/>
        </w:rPr>
        <w:t xml:space="preserve">la Ley No. 236-14. Adicionalmente, luego de descontar la cuota aprobada para la Unidad Operativa (segunda línea de la tabla), así como </w:t>
      </w:r>
      <w:r w:rsidR="00647F95" w:rsidRPr="008E2D67">
        <w:rPr>
          <w:rFonts w:ascii="Calibri" w:hAnsi="Calibri"/>
          <w:color w:val="000000"/>
          <w:lang w:val="es-DO"/>
        </w:rPr>
        <w:t>la asignación</w:t>
      </w:r>
      <w:r w:rsidR="00647FBD" w:rsidRPr="008E2D67">
        <w:rPr>
          <w:rFonts w:ascii="Calibri" w:hAnsi="Calibri"/>
          <w:color w:val="000000"/>
          <w:lang w:val="es-DO"/>
        </w:rPr>
        <w:t xml:space="preserve"> a favor de </w:t>
      </w:r>
      <w:proofErr w:type="spellStart"/>
      <w:r w:rsidR="00647FBD" w:rsidRPr="008E2D67">
        <w:rPr>
          <w:rFonts w:ascii="Calibri" w:hAnsi="Calibri"/>
          <w:color w:val="000000"/>
          <w:lang w:val="es-DO"/>
        </w:rPr>
        <w:t>UTECO</w:t>
      </w:r>
      <w:proofErr w:type="spellEnd"/>
      <w:r w:rsidR="00647FBD" w:rsidRPr="008E2D67">
        <w:rPr>
          <w:rFonts w:ascii="Calibri" w:hAnsi="Calibri"/>
          <w:color w:val="000000"/>
          <w:lang w:val="es-DO"/>
        </w:rPr>
        <w:t xml:space="preserve">, también se indican los porcentajes que deben ser aplicados según la Ley No. 91-05, para el reparto a los municipios y distritos municipales respectivos. </w:t>
      </w:r>
    </w:p>
    <w:p w14:paraId="73CBC163" w14:textId="77777777" w:rsidR="003A5CDF" w:rsidRDefault="003A5CDF" w:rsidP="00A005CD">
      <w:pPr>
        <w:jc w:val="both"/>
        <w:rPr>
          <w:rFonts w:ascii="Calibri" w:hAnsi="Calibri"/>
          <w:color w:val="000000"/>
          <w:lang w:val="es-DO"/>
        </w:rPr>
      </w:pPr>
    </w:p>
    <w:p w14:paraId="68C4A2FE" w14:textId="36CA7AB1" w:rsidR="00647FBD" w:rsidRPr="008E2D67" w:rsidRDefault="00F76861" w:rsidP="00A005CD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>De forma tal que</w:t>
      </w:r>
      <w:r w:rsidR="008C1D51">
        <w:rPr>
          <w:rFonts w:ascii="Calibri" w:hAnsi="Calibri"/>
          <w:color w:val="000000"/>
          <w:lang w:val="es-DO"/>
        </w:rPr>
        <w:t>,</w:t>
      </w:r>
      <w:r w:rsidR="00FD235F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>e</w:t>
      </w:r>
      <w:r w:rsidR="00647FBD" w:rsidRPr="00ED3F6E">
        <w:rPr>
          <w:rFonts w:ascii="Calibri" w:hAnsi="Calibri"/>
          <w:color w:val="000000"/>
          <w:lang w:val="es-DO"/>
        </w:rPr>
        <w:t>l 40% que establece la Ley para el municipio de Cotuí</w:t>
      </w:r>
      <w:r w:rsidR="00FD235F">
        <w:rPr>
          <w:rFonts w:ascii="Calibri" w:hAnsi="Calibri"/>
          <w:color w:val="000000"/>
          <w:lang w:val="es-DO"/>
        </w:rPr>
        <w:t xml:space="preserve">, es aplicado al </w:t>
      </w:r>
      <w:r w:rsidR="00647FBD" w:rsidRPr="00ED3F6E">
        <w:rPr>
          <w:rFonts w:ascii="Calibri" w:hAnsi="Calibri"/>
          <w:color w:val="000000"/>
          <w:lang w:val="es-DO"/>
        </w:rPr>
        <w:t xml:space="preserve">monto </w:t>
      </w:r>
      <w:r>
        <w:rPr>
          <w:rFonts w:ascii="Calibri" w:hAnsi="Calibri"/>
          <w:color w:val="000000"/>
          <w:lang w:val="es-DO"/>
        </w:rPr>
        <w:t>restante</w:t>
      </w:r>
      <w:r w:rsidR="00647FBD" w:rsidRPr="00ED3F6E">
        <w:rPr>
          <w:rFonts w:ascii="Calibri" w:hAnsi="Calibri"/>
          <w:color w:val="000000"/>
          <w:lang w:val="es-DO"/>
        </w:rPr>
        <w:t xml:space="preserve"> luego de asignar </w:t>
      </w:r>
      <w:r w:rsidR="007D024E" w:rsidRPr="00ED3F6E">
        <w:rPr>
          <w:rFonts w:ascii="Calibri" w:hAnsi="Calibri"/>
          <w:color w:val="000000"/>
          <w:lang w:val="es-DO"/>
        </w:rPr>
        <w:t xml:space="preserve">a </w:t>
      </w:r>
      <w:proofErr w:type="spellStart"/>
      <w:r w:rsidR="007D024E" w:rsidRPr="00ED3F6E">
        <w:rPr>
          <w:rFonts w:ascii="Calibri" w:hAnsi="Calibri"/>
          <w:color w:val="000000"/>
          <w:lang w:val="es-DO"/>
        </w:rPr>
        <w:t>UTECO</w:t>
      </w:r>
      <w:proofErr w:type="spellEnd"/>
      <w:r w:rsidR="007D024E" w:rsidRPr="00ED3F6E">
        <w:rPr>
          <w:rFonts w:ascii="Calibri" w:hAnsi="Calibri"/>
          <w:color w:val="000000"/>
          <w:lang w:val="es-DO"/>
        </w:rPr>
        <w:t xml:space="preserve"> </w:t>
      </w:r>
      <w:r w:rsidR="00647FBD" w:rsidRPr="00ED3F6E">
        <w:rPr>
          <w:rFonts w:ascii="Calibri" w:hAnsi="Calibri"/>
          <w:color w:val="000000"/>
          <w:lang w:val="es-DO"/>
        </w:rPr>
        <w:t xml:space="preserve">el </w:t>
      </w:r>
      <w:r w:rsidR="00242DC6">
        <w:rPr>
          <w:rFonts w:ascii="Calibri" w:hAnsi="Calibri"/>
          <w:color w:val="000000"/>
          <w:lang w:val="es-DO"/>
        </w:rPr>
        <w:t>6</w:t>
      </w:r>
      <w:r w:rsidR="007D024E" w:rsidRPr="00ED3F6E">
        <w:rPr>
          <w:rFonts w:ascii="Calibri" w:hAnsi="Calibri"/>
          <w:color w:val="000000"/>
          <w:lang w:val="es-DO"/>
        </w:rPr>
        <w:t>.50</w:t>
      </w:r>
      <w:r w:rsidR="00242DC6">
        <w:rPr>
          <w:rFonts w:ascii="Calibri" w:hAnsi="Calibri"/>
          <w:color w:val="000000"/>
          <w:lang w:val="es-DO"/>
        </w:rPr>
        <w:t xml:space="preserve"> </w:t>
      </w:r>
      <w:r w:rsidR="00647FBD" w:rsidRPr="00ED3F6E">
        <w:rPr>
          <w:rFonts w:ascii="Calibri" w:hAnsi="Calibri"/>
          <w:color w:val="000000"/>
          <w:lang w:val="es-DO"/>
        </w:rPr>
        <w:t>%</w:t>
      </w:r>
      <w:r w:rsidR="007D024E" w:rsidRPr="00ED3F6E">
        <w:rPr>
          <w:rFonts w:ascii="Calibri" w:hAnsi="Calibri"/>
          <w:color w:val="000000"/>
          <w:lang w:val="es-DO"/>
        </w:rPr>
        <w:t xml:space="preserve"> en el 20</w:t>
      </w:r>
      <w:r w:rsidR="00242DC6">
        <w:rPr>
          <w:rFonts w:ascii="Calibri" w:hAnsi="Calibri"/>
          <w:color w:val="000000"/>
          <w:lang w:val="es-DO"/>
        </w:rPr>
        <w:t>21</w:t>
      </w:r>
      <w:r w:rsidR="007D024E" w:rsidRPr="00ED3F6E">
        <w:rPr>
          <w:rFonts w:ascii="Calibri" w:hAnsi="Calibri"/>
          <w:color w:val="000000"/>
          <w:lang w:val="es-DO"/>
        </w:rPr>
        <w:t xml:space="preserve"> y el </w:t>
      </w:r>
      <w:r w:rsidR="00242DC6">
        <w:rPr>
          <w:rFonts w:ascii="Calibri" w:hAnsi="Calibri"/>
          <w:color w:val="000000"/>
          <w:lang w:val="es-DO"/>
        </w:rPr>
        <w:t>7</w:t>
      </w:r>
      <w:r w:rsidR="007D024E" w:rsidRPr="00ED3F6E">
        <w:rPr>
          <w:rFonts w:ascii="Calibri" w:hAnsi="Calibri"/>
          <w:color w:val="000000"/>
          <w:lang w:val="es-DO"/>
        </w:rPr>
        <w:t>.00</w:t>
      </w:r>
      <w:r w:rsidR="00242DC6">
        <w:rPr>
          <w:rFonts w:ascii="Calibri" w:hAnsi="Calibri"/>
          <w:color w:val="000000"/>
          <w:lang w:val="es-DO"/>
        </w:rPr>
        <w:t xml:space="preserve"> </w:t>
      </w:r>
      <w:r w:rsidR="007D024E" w:rsidRPr="00ED3F6E">
        <w:rPr>
          <w:rFonts w:ascii="Calibri" w:hAnsi="Calibri"/>
          <w:color w:val="000000"/>
          <w:lang w:val="es-DO"/>
        </w:rPr>
        <w:t>% en 202</w:t>
      </w:r>
      <w:r w:rsidR="00242DC6">
        <w:rPr>
          <w:rFonts w:ascii="Calibri" w:hAnsi="Calibri"/>
          <w:color w:val="000000"/>
          <w:lang w:val="es-DO"/>
        </w:rPr>
        <w:t>2</w:t>
      </w:r>
      <w:r>
        <w:rPr>
          <w:rFonts w:ascii="Calibri" w:hAnsi="Calibri"/>
          <w:color w:val="000000"/>
          <w:lang w:val="es-DO"/>
        </w:rPr>
        <w:t>,</w:t>
      </w:r>
      <w:r w:rsidR="00647FBD" w:rsidRPr="00ED3F6E">
        <w:rPr>
          <w:rFonts w:ascii="Calibri" w:hAnsi="Calibri"/>
          <w:color w:val="000000"/>
          <w:lang w:val="es-DO"/>
        </w:rPr>
        <w:t xml:space="preserve"> y descontar la partida aprobada para la Unidad Operativa</w:t>
      </w:r>
      <w:r w:rsidR="00647F95" w:rsidRPr="00ED3F6E">
        <w:rPr>
          <w:rFonts w:ascii="Calibri" w:hAnsi="Calibri"/>
          <w:color w:val="000000"/>
          <w:lang w:val="es-DO"/>
        </w:rPr>
        <w:t xml:space="preserve"> en cada período</w:t>
      </w:r>
      <w:r w:rsidR="00647FBD" w:rsidRPr="00ED3F6E">
        <w:rPr>
          <w:rFonts w:ascii="Calibri" w:hAnsi="Calibri"/>
          <w:color w:val="000000"/>
          <w:lang w:val="es-DO"/>
        </w:rPr>
        <w:t>.</w:t>
      </w:r>
      <w:r w:rsidR="00FD235F">
        <w:rPr>
          <w:rFonts w:ascii="Calibri" w:hAnsi="Calibri"/>
          <w:color w:val="000000"/>
          <w:lang w:val="es-DO"/>
        </w:rPr>
        <w:t xml:space="preserve"> Lo mismo con respecto a los demás componentes previstos en la distribución</w:t>
      </w:r>
      <w:r w:rsidR="008C1D51">
        <w:rPr>
          <w:rFonts w:ascii="Calibri" w:hAnsi="Calibri"/>
          <w:color w:val="000000"/>
          <w:lang w:val="es-DO"/>
        </w:rPr>
        <w:t xml:space="preserve"> territorial</w:t>
      </w:r>
      <w:r w:rsidR="00FD235F">
        <w:rPr>
          <w:rFonts w:ascii="Calibri" w:hAnsi="Calibri"/>
          <w:color w:val="000000"/>
          <w:lang w:val="es-DO"/>
        </w:rPr>
        <w:t xml:space="preserve"> establecida.</w:t>
      </w:r>
    </w:p>
    <w:p w14:paraId="344BB53C" w14:textId="77777777" w:rsidR="00A005CD" w:rsidRPr="008E2D67" w:rsidRDefault="00A005CD" w:rsidP="00A005CD">
      <w:pPr>
        <w:jc w:val="both"/>
        <w:rPr>
          <w:rFonts w:ascii="Calibri" w:hAnsi="Calibri"/>
          <w:color w:val="000000"/>
          <w:lang w:val="es-DO"/>
        </w:rPr>
      </w:pPr>
    </w:p>
    <w:p w14:paraId="187B4B4D" w14:textId="6958193C" w:rsidR="00E04952" w:rsidRDefault="00647FBD" w:rsidP="003A5CDF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t>En el siguiente acápite</w:t>
      </w:r>
      <w:r w:rsidR="00D62857">
        <w:rPr>
          <w:rFonts w:ascii="Calibri" w:hAnsi="Calibri"/>
          <w:color w:val="000000"/>
          <w:lang w:val="es-DO"/>
        </w:rPr>
        <w:t>,</w:t>
      </w:r>
      <w:r w:rsidRPr="008E2D67">
        <w:rPr>
          <w:rFonts w:ascii="Calibri" w:hAnsi="Calibri"/>
          <w:color w:val="000000"/>
          <w:lang w:val="es-DO"/>
        </w:rPr>
        <w:t xml:space="preserve"> se </w:t>
      </w:r>
      <w:r w:rsidR="00D62857">
        <w:rPr>
          <w:rFonts w:ascii="Calibri" w:hAnsi="Calibri"/>
          <w:color w:val="000000"/>
          <w:lang w:val="es-DO"/>
        </w:rPr>
        <w:t xml:space="preserve">busca </w:t>
      </w:r>
      <w:r w:rsidRPr="008E2D67">
        <w:rPr>
          <w:rFonts w:ascii="Calibri" w:hAnsi="Calibri"/>
          <w:color w:val="000000"/>
          <w:lang w:val="es-DO"/>
        </w:rPr>
        <w:t xml:space="preserve">verificar la consistencia entre estas ponderaciones de referencia y los porcentajes de reparto aplicados por el Consejo Provincial, de forma </w:t>
      </w:r>
      <w:r w:rsidR="0057540A">
        <w:rPr>
          <w:rFonts w:ascii="Calibri" w:hAnsi="Calibri"/>
          <w:color w:val="000000"/>
          <w:lang w:val="es-DO"/>
        </w:rPr>
        <w:t xml:space="preserve">tal </w:t>
      </w:r>
      <w:r w:rsidRPr="008E2D67">
        <w:rPr>
          <w:rFonts w:ascii="Calibri" w:hAnsi="Calibri"/>
          <w:color w:val="000000"/>
          <w:lang w:val="es-DO"/>
        </w:rPr>
        <w:t xml:space="preserve">que se pueda determinar si la distribución ejecutada se corresponde con lo establecido </w:t>
      </w:r>
      <w:r w:rsidR="00590543">
        <w:rPr>
          <w:rFonts w:ascii="Calibri" w:hAnsi="Calibri"/>
          <w:color w:val="000000"/>
          <w:lang w:val="es-DO"/>
        </w:rPr>
        <w:t xml:space="preserve">en </w:t>
      </w:r>
      <w:r w:rsidRPr="008E2D67">
        <w:rPr>
          <w:rFonts w:ascii="Calibri" w:hAnsi="Calibri"/>
          <w:color w:val="000000"/>
          <w:lang w:val="es-DO"/>
        </w:rPr>
        <w:t>los preceptos legales señalados. Para estos fines, prime</w:t>
      </w:r>
      <w:r w:rsidR="00590543">
        <w:rPr>
          <w:rFonts w:ascii="Calibri" w:hAnsi="Calibri"/>
          <w:color w:val="000000"/>
          <w:lang w:val="es-DO"/>
        </w:rPr>
        <w:t>ro</w:t>
      </w:r>
      <w:r w:rsidRPr="008E2D67">
        <w:rPr>
          <w:rFonts w:ascii="Calibri" w:hAnsi="Calibri"/>
          <w:color w:val="000000"/>
          <w:lang w:val="es-DO"/>
        </w:rPr>
        <w:t xml:space="preserve"> se establece una comparación entre las transferencias reportadas por el Gobierno Central y los fondos que el Consejo </w:t>
      </w:r>
      <w:r w:rsidRPr="008332B8">
        <w:rPr>
          <w:rFonts w:ascii="Calibri" w:hAnsi="Calibri"/>
          <w:color w:val="000000"/>
          <w:lang w:val="es-DO"/>
        </w:rPr>
        <w:t xml:space="preserve">Provincial de </w:t>
      </w:r>
      <w:proofErr w:type="spellStart"/>
      <w:r w:rsidRPr="008332B8">
        <w:rPr>
          <w:rFonts w:ascii="Calibri" w:hAnsi="Calibri"/>
          <w:color w:val="000000"/>
          <w:lang w:val="es-DO"/>
        </w:rPr>
        <w:t>FOMISAR</w:t>
      </w:r>
      <w:proofErr w:type="spellEnd"/>
      <w:r w:rsidRPr="008332B8">
        <w:rPr>
          <w:rFonts w:ascii="Calibri" w:hAnsi="Calibri"/>
          <w:color w:val="000000"/>
          <w:lang w:val="es-DO"/>
        </w:rPr>
        <w:t xml:space="preserve"> reporta como recibidos</w:t>
      </w:r>
      <w:r w:rsidR="0057540A" w:rsidRPr="008332B8">
        <w:rPr>
          <w:rFonts w:ascii="Calibri" w:hAnsi="Calibri"/>
          <w:color w:val="000000"/>
          <w:lang w:val="es-DO"/>
        </w:rPr>
        <w:t xml:space="preserve">; </w:t>
      </w:r>
      <w:r w:rsidR="00F04C4B">
        <w:rPr>
          <w:rFonts w:ascii="Calibri" w:hAnsi="Calibri"/>
          <w:color w:val="000000"/>
          <w:lang w:val="es-DO"/>
        </w:rPr>
        <w:t>para enfocar</w:t>
      </w:r>
      <w:r w:rsidR="00826996" w:rsidRPr="008332B8">
        <w:rPr>
          <w:rFonts w:ascii="Calibri" w:hAnsi="Calibri"/>
          <w:color w:val="000000"/>
          <w:lang w:val="es-DO"/>
        </w:rPr>
        <w:t xml:space="preserve"> luego</w:t>
      </w:r>
      <w:r w:rsidR="0057540A" w:rsidRPr="008332B8">
        <w:rPr>
          <w:rFonts w:ascii="Calibri" w:hAnsi="Calibri"/>
          <w:color w:val="000000"/>
          <w:lang w:val="es-DO"/>
        </w:rPr>
        <w:t xml:space="preserve"> </w:t>
      </w:r>
      <w:r w:rsidR="00826996" w:rsidRPr="008332B8">
        <w:rPr>
          <w:rFonts w:ascii="Calibri" w:hAnsi="Calibri"/>
          <w:color w:val="000000"/>
          <w:lang w:val="es-DO"/>
        </w:rPr>
        <w:t>la referida distribución</w:t>
      </w:r>
      <w:r w:rsidR="00476ACD" w:rsidRPr="008332B8">
        <w:rPr>
          <w:rFonts w:ascii="Calibri" w:hAnsi="Calibri"/>
          <w:color w:val="000000"/>
          <w:lang w:val="es-DO"/>
        </w:rPr>
        <w:t>.</w:t>
      </w:r>
    </w:p>
    <w:p w14:paraId="73CD1266" w14:textId="77777777" w:rsidR="003A5CDF" w:rsidRPr="008E2D67" w:rsidRDefault="003A5CDF" w:rsidP="003A5CDF">
      <w:pPr>
        <w:jc w:val="both"/>
        <w:rPr>
          <w:rFonts w:ascii="Calibri" w:hAnsi="Calibri"/>
          <w:color w:val="000000"/>
          <w:lang w:val="es-DO"/>
        </w:rPr>
      </w:pPr>
    </w:p>
    <w:p w14:paraId="58B66DC8" w14:textId="458D3600" w:rsidR="00647FBD" w:rsidRPr="008E2D67" w:rsidRDefault="00647FBD" w:rsidP="00E04952">
      <w:pPr>
        <w:keepNext/>
        <w:keepLines/>
        <w:spacing w:before="40"/>
        <w:outlineLvl w:val="1"/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</w:pPr>
      <w:bookmarkStart w:id="17" w:name="_Toc31065202"/>
      <w:bookmarkStart w:id="18" w:name="_Toc89157430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2.2 Comparativo entre las Transferencias del Gobierno Central y los Fondos que el Consejo Provincial de </w:t>
      </w:r>
      <w:proofErr w:type="spellStart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FOMISAR</w:t>
      </w:r>
      <w:proofErr w:type="spellEnd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 Reporta como Recibidos en 20</w:t>
      </w:r>
      <w:r w:rsidR="00242DC6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21</w:t>
      </w:r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 y 20</w:t>
      </w:r>
      <w:bookmarkEnd w:id="17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</w:t>
      </w:r>
      <w:bookmarkEnd w:id="18"/>
      <w:r w:rsidR="00242DC6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</w:t>
      </w:r>
    </w:p>
    <w:p w14:paraId="699E78C1" w14:textId="77777777" w:rsidR="00647FBD" w:rsidRPr="008E2D67" w:rsidRDefault="00647FBD" w:rsidP="00647FBD">
      <w:pPr>
        <w:jc w:val="both"/>
        <w:rPr>
          <w:rFonts w:ascii="Calibri" w:hAnsi="Calibri"/>
          <w:color w:val="000000"/>
          <w:lang w:val="es-DO"/>
        </w:rPr>
      </w:pPr>
    </w:p>
    <w:p w14:paraId="7F8B81EA" w14:textId="744398B6" w:rsidR="00647FBD" w:rsidRPr="008E2D67" w:rsidRDefault="00647FBD" w:rsidP="00647FBD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t xml:space="preserve">Los fondos reportados como recibidos por el Consejo Provincial de </w:t>
      </w:r>
      <w:proofErr w:type="spellStart"/>
      <w:r w:rsidRPr="008E2D67">
        <w:rPr>
          <w:rFonts w:ascii="Calibri" w:hAnsi="Calibri"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 de parte del Gobierno Central, en virtud de la disposición del </w:t>
      </w:r>
      <w:proofErr w:type="spellStart"/>
      <w:r w:rsidRPr="008E2D67">
        <w:rPr>
          <w:rFonts w:ascii="Calibri" w:hAnsi="Calibri"/>
          <w:color w:val="000000"/>
          <w:lang w:val="es-DO"/>
        </w:rPr>
        <w:t>CEAM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 señalada en el acápite 1.1 de este documento, ascendieron a la suma de RD$ 200.00 millones en 20</w:t>
      </w:r>
      <w:r w:rsidR="000065EF">
        <w:rPr>
          <w:rFonts w:ascii="Calibri" w:hAnsi="Calibri"/>
          <w:color w:val="000000"/>
          <w:lang w:val="es-DO"/>
        </w:rPr>
        <w:t>21</w:t>
      </w:r>
      <w:r w:rsidRPr="008E2D67">
        <w:rPr>
          <w:rFonts w:ascii="Calibri" w:hAnsi="Calibri"/>
          <w:color w:val="000000"/>
          <w:lang w:val="es-DO"/>
        </w:rPr>
        <w:t xml:space="preserve"> y otros RD$ </w:t>
      </w:r>
      <w:r w:rsidR="000065EF">
        <w:rPr>
          <w:rFonts w:ascii="Calibri" w:hAnsi="Calibri"/>
          <w:color w:val="000000"/>
          <w:lang w:val="es-DO"/>
        </w:rPr>
        <w:t>3</w:t>
      </w:r>
      <w:r w:rsidRPr="008E2D67">
        <w:rPr>
          <w:rFonts w:ascii="Calibri" w:hAnsi="Calibri"/>
          <w:color w:val="000000"/>
          <w:lang w:val="es-DO"/>
        </w:rPr>
        <w:t>00.00 millones en 20</w:t>
      </w:r>
      <w:r w:rsidR="00647F95" w:rsidRPr="008E2D67">
        <w:rPr>
          <w:rFonts w:ascii="Calibri" w:hAnsi="Calibri"/>
          <w:color w:val="000000"/>
          <w:lang w:val="es-DO"/>
        </w:rPr>
        <w:t>2</w:t>
      </w:r>
      <w:r w:rsidR="000065EF">
        <w:rPr>
          <w:rFonts w:ascii="Calibri" w:hAnsi="Calibri"/>
          <w:color w:val="000000"/>
          <w:lang w:val="es-DO"/>
        </w:rPr>
        <w:t>2</w:t>
      </w:r>
      <w:r w:rsidRPr="008E2D67">
        <w:rPr>
          <w:rFonts w:ascii="Calibri" w:hAnsi="Calibri"/>
          <w:color w:val="000000"/>
          <w:lang w:val="es-DO"/>
        </w:rPr>
        <w:t xml:space="preserve">, para un total de RD$ </w:t>
      </w:r>
      <w:r w:rsidR="000065EF">
        <w:rPr>
          <w:rFonts w:ascii="Calibri" w:hAnsi="Calibri"/>
          <w:color w:val="000000"/>
          <w:lang w:val="es-DO"/>
        </w:rPr>
        <w:t>5</w:t>
      </w:r>
      <w:r w:rsidRPr="008E2D67">
        <w:rPr>
          <w:rFonts w:ascii="Calibri" w:hAnsi="Calibri"/>
          <w:color w:val="000000"/>
          <w:lang w:val="es-DO"/>
        </w:rPr>
        <w:t xml:space="preserve">00.00 millones en </w:t>
      </w:r>
      <w:r w:rsidR="000169E6">
        <w:rPr>
          <w:rFonts w:ascii="Calibri" w:hAnsi="Calibri"/>
          <w:color w:val="000000"/>
          <w:lang w:val="es-DO"/>
        </w:rPr>
        <w:t xml:space="preserve">los </w:t>
      </w:r>
      <w:r w:rsidRPr="008E2D67">
        <w:rPr>
          <w:rFonts w:ascii="Calibri" w:hAnsi="Calibri"/>
          <w:color w:val="000000"/>
          <w:lang w:val="es-DO"/>
        </w:rPr>
        <w:t xml:space="preserve">dos años; </w:t>
      </w:r>
      <w:bookmarkStart w:id="19" w:name="_Hlk85616519"/>
      <w:r w:rsidRPr="00F029A1">
        <w:rPr>
          <w:rFonts w:ascii="Calibri" w:hAnsi="Calibri"/>
          <w:color w:val="000000"/>
          <w:lang w:val="es-DO"/>
        </w:rPr>
        <w:t xml:space="preserve">según </w:t>
      </w:r>
      <w:r w:rsidR="000D20F9" w:rsidRPr="00F029A1">
        <w:rPr>
          <w:rFonts w:ascii="Calibri" w:hAnsi="Calibri"/>
          <w:color w:val="000000"/>
          <w:lang w:val="es-DO"/>
        </w:rPr>
        <w:t xml:space="preserve">datos de la Matriz de Distribución de Recursos </w:t>
      </w:r>
      <w:r w:rsidRPr="00F029A1">
        <w:rPr>
          <w:rFonts w:ascii="Calibri" w:hAnsi="Calibri"/>
          <w:color w:val="000000"/>
          <w:lang w:val="es-DO"/>
        </w:rPr>
        <w:t>20</w:t>
      </w:r>
      <w:r w:rsidR="000065EF">
        <w:rPr>
          <w:rFonts w:ascii="Calibri" w:hAnsi="Calibri"/>
          <w:color w:val="000000"/>
          <w:lang w:val="es-DO"/>
        </w:rPr>
        <w:t>21</w:t>
      </w:r>
      <w:r w:rsidRPr="00F029A1">
        <w:rPr>
          <w:rFonts w:ascii="Calibri" w:hAnsi="Calibri"/>
          <w:color w:val="000000"/>
          <w:lang w:val="es-DO"/>
        </w:rPr>
        <w:t xml:space="preserve"> y 202</w:t>
      </w:r>
      <w:r w:rsidR="000065EF">
        <w:rPr>
          <w:rFonts w:ascii="Calibri" w:hAnsi="Calibri"/>
          <w:color w:val="000000"/>
          <w:lang w:val="es-DO"/>
        </w:rPr>
        <w:t>2</w:t>
      </w:r>
      <w:r w:rsidR="000169E6">
        <w:rPr>
          <w:rFonts w:ascii="Calibri" w:hAnsi="Calibri"/>
          <w:color w:val="000000"/>
          <w:lang w:val="es-DO"/>
        </w:rPr>
        <w:t>,</w:t>
      </w:r>
      <w:r w:rsidRPr="00F029A1">
        <w:rPr>
          <w:rFonts w:ascii="Calibri" w:hAnsi="Calibri"/>
          <w:color w:val="000000"/>
          <w:lang w:val="es-DO"/>
        </w:rPr>
        <w:t xml:space="preserve"> presentado por dicho Consejo Provincial</w:t>
      </w:r>
      <w:bookmarkEnd w:id="19"/>
      <w:r w:rsidRPr="00F029A1">
        <w:rPr>
          <w:rFonts w:ascii="Calibri" w:hAnsi="Calibri"/>
          <w:color w:val="000000"/>
          <w:lang w:val="es-DO"/>
        </w:rPr>
        <w:t>.</w:t>
      </w:r>
    </w:p>
    <w:p w14:paraId="2603ED3D" w14:textId="77777777" w:rsidR="00647FBD" w:rsidRPr="008E2D67" w:rsidRDefault="00647FBD" w:rsidP="00647FBD">
      <w:pPr>
        <w:jc w:val="both"/>
        <w:rPr>
          <w:rFonts w:ascii="Calibri" w:hAnsi="Calibri"/>
          <w:color w:val="000000"/>
          <w:lang w:val="es-DO"/>
        </w:rPr>
      </w:pPr>
    </w:p>
    <w:p w14:paraId="22864107" w14:textId="5E28CF9E" w:rsidR="00251E62" w:rsidRDefault="00647FBD" w:rsidP="00647FBD">
      <w:pPr>
        <w:jc w:val="both"/>
        <w:rPr>
          <w:rFonts w:ascii="Calibri" w:hAnsi="Calibri"/>
          <w:color w:val="000000"/>
          <w:lang w:val="es-DO"/>
        </w:rPr>
      </w:pPr>
      <w:r w:rsidRPr="008E2D67">
        <w:rPr>
          <w:rFonts w:ascii="Calibri" w:hAnsi="Calibri"/>
          <w:color w:val="000000"/>
          <w:lang w:val="es-DO"/>
        </w:rPr>
        <w:t>Al comparar estos valores con las transferencias realizadas por el Gobierno Central, se obtiene una variación relativa de 0</w:t>
      </w:r>
      <w:r w:rsidR="00E329A3">
        <w:rPr>
          <w:rFonts w:ascii="Calibri" w:hAnsi="Calibri"/>
          <w:color w:val="000000"/>
          <w:lang w:val="es-DO"/>
        </w:rPr>
        <w:t xml:space="preserve"> </w:t>
      </w:r>
      <w:r w:rsidRPr="008E2D67">
        <w:rPr>
          <w:rFonts w:ascii="Calibri" w:hAnsi="Calibri"/>
          <w:color w:val="000000"/>
          <w:lang w:val="es-DO"/>
        </w:rPr>
        <w:t xml:space="preserve">%, lo que significa que los valores reportados por el Gobierno Central como transferidos, </w:t>
      </w:r>
      <w:r w:rsidR="00C64699">
        <w:rPr>
          <w:rFonts w:ascii="Calibri" w:hAnsi="Calibri"/>
          <w:color w:val="000000"/>
          <w:lang w:val="es-DO"/>
        </w:rPr>
        <w:t>se corresponden en un 100</w:t>
      </w:r>
      <w:r w:rsidR="00E329A3">
        <w:rPr>
          <w:rFonts w:ascii="Calibri" w:hAnsi="Calibri"/>
          <w:color w:val="000000"/>
          <w:lang w:val="es-DO"/>
        </w:rPr>
        <w:t xml:space="preserve"> </w:t>
      </w:r>
      <w:r w:rsidR="00C64699">
        <w:rPr>
          <w:rFonts w:ascii="Calibri" w:hAnsi="Calibri"/>
          <w:color w:val="000000"/>
          <w:lang w:val="es-DO"/>
        </w:rPr>
        <w:t>% con</w:t>
      </w:r>
      <w:r w:rsidRPr="008E2D67">
        <w:rPr>
          <w:rFonts w:ascii="Calibri" w:hAnsi="Calibri"/>
          <w:color w:val="000000"/>
          <w:lang w:val="es-DO"/>
        </w:rPr>
        <w:t xml:space="preserve"> los reportados por el Consejo Provincial de </w:t>
      </w:r>
      <w:proofErr w:type="spellStart"/>
      <w:r w:rsidRPr="008E2D67">
        <w:rPr>
          <w:rFonts w:ascii="Calibri" w:hAnsi="Calibri"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color w:val="000000"/>
          <w:lang w:val="es-DO"/>
        </w:rPr>
        <w:t xml:space="preserve"> como recibidos. </w:t>
      </w:r>
    </w:p>
    <w:p w14:paraId="36A6C44D" w14:textId="343C6B9B" w:rsidR="00251E62" w:rsidRDefault="00251E62" w:rsidP="00647FBD">
      <w:pPr>
        <w:jc w:val="both"/>
        <w:rPr>
          <w:rFonts w:ascii="Calibri" w:hAnsi="Calibri"/>
          <w:color w:val="000000"/>
          <w:lang w:val="es-DO"/>
        </w:rPr>
      </w:pPr>
    </w:p>
    <w:p w14:paraId="0CF8DE9F" w14:textId="42812DE9" w:rsidR="003A5CDF" w:rsidRDefault="003A5CDF" w:rsidP="00647FBD">
      <w:pPr>
        <w:jc w:val="both"/>
        <w:rPr>
          <w:rFonts w:ascii="Calibri" w:hAnsi="Calibri"/>
          <w:color w:val="000000"/>
          <w:lang w:val="es-DO"/>
        </w:rPr>
      </w:pPr>
    </w:p>
    <w:p w14:paraId="68CC41D0" w14:textId="77777777" w:rsidR="00EE4B23" w:rsidRDefault="00EE4B23" w:rsidP="00647FBD">
      <w:pPr>
        <w:jc w:val="both"/>
        <w:rPr>
          <w:rFonts w:ascii="Calibri" w:hAnsi="Calibri"/>
          <w:color w:val="000000"/>
          <w:lang w:val="es-DO"/>
        </w:rPr>
      </w:pPr>
    </w:p>
    <w:p w14:paraId="186A619E" w14:textId="77777777" w:rsidR="00EE4B23" w:rsidRDefault="00EE4B23" w:rsidP="00647FBD">
      <w:pPr>
        <w:jc w:val="both"/>
        <w:rPr>
          <w:rFonts w:ascii="Calibri" w:hAnsi="Calibri"/>
          <w:color w:val="000000"/>
          <w:lang w:val="es-DO"/>
        </w:rPr>
      </w:pPr>
    </w:p>
    <w:p w14:paraId="70CB776D" w14:textId="77777777" w:rsidR="00EE4B23" w:rsidRDefault="00EE4B23" w:rsidP="00647FBD">
      <w:pPr>
        <w:jc w:val="both"/>
        <w:rPr>
          <w:rFonts w:ascii="Calibri" w:hAnsi="Calibri"/>
          <w:color w:val="000000"/>
          <w:lang w:val="es-DO"/>
        </w:rPr>
      </w:pPr>
    </w:p>
    <w:p w14:paraId="5BD6BF35" w14:textId="77777777" w:rsidR="00EE4B23" w:rsidRDefault="00EE4B23" w:rsidP="00647FBD">
      <w:pPr>
        <w:jc w:val="both"/>
        <w:rPr>
          <w:rFonts w:ascii="Calibri" w:hAnsi="Calibri"/>
          <w:color w:val="000000"/>
          <w:lang w:val="es-DO"/>
        </w:rPr>
      </w:pPr>
    </w:p>
    <w:p w14:paraId="2EC10781" w14:textId="77777777" w:rsidR="00EE4B23" w:rsidRDefault="00EE4B23" w:rsidP="00647FBD">
      <w:pPr>
        <w:jc w:val="both"/>
        <w:rPr>
          <w:rFonts w:ascii="Calibri" w:hAnsi="Calibri"/>
          <w:color w:val="000000"/>
          <w:lang w:val="es-DO"/>
        </w:rPr>
      </w:pPr>
    </w:p>
    <w:p w14:paraId="7741E15E" w14:textId="77777777" w:rsidR="00EE4B23" w:rsidRDefault="00EE4B23" w:rsidP="00647FBD">
      <w:pPr>
        <w:jc w:val="both"/>
        <w:rPr>
          <w:rFonts w:ascii="Calibri" w:hAnsi="Calibri"/>
          <w:color w:val="000000"/>
          <w:lang w:val="es-DO"/>
        </w:rPr>
      </w:pPr>
    </w:p>
    <w:p w14:paraId="1B2936C2" w14:textId="77777777" w:rsidR="00EE4B23" w:rsidRDefault="00EE4B23" w:rsidP="00647FBD">
      <w:pPr>
        <w:jc w:val="both"/>
        <w:rPr>
          <w:rFonts w:ascii="Calibri" w:hAnsi="Calibri"/>
          <w:color w:val="000000"/>
          <w:lang w:val="es-DO"/>
        </w:rPr>
      </w:pPr>
    </w:p>
    <w:p w14:paraId="3689D3F3" w14:textId="77777777" w:rsidR="00647FBD" w:rsidRPr="008E2D67" w:rsidRDefault="00647FBD" w:rsidP="00647FBD">
      <w:pPr>
        <w:jc w:val="center"/>
        <w:rPr>
          <w:rFonts w:ascii="Calibri" w:hAnsi="Calibri"/>
          <w:b/>
          <w:lang w:val="es-DO"/>
        </w:rPr>
      </w:pPr>
      <w:r w:rsidRPr="008E2D67">
        <w:rPr>
          <w:rFonts w:ascii="Calibri" w:hAnsi="Calibri"/>
          <w:b/>
          <w:lang w:val="es-DO"/>
        </w:rPr>
        <w:t>Tabla No. 2.2.1</w:t>
      </w:r>
    </w:p>
    <w:p w14:paraId="6094F322" w14:textId="2B8C313E" w:rsidR="00647FBD" w:rsidRPr="008E2D67" w:rsidRDefault="00647FBD" w:rsidP="00647FBD">
      <w:pPr>
        <w:jc w:val="center"/>
        <w:rPr>
          <w:rFonts w:ascii="Calibri" w:hAnsi="Calibri"/>
          <w:b/>
          <w:lang w:val="es-DO"/>
        </w:rPr>
      </w:pPr>
      <w:r w:rsidRPr="008E2D67">
        <w:rPr>
          <w:rFonts w:ascii="Calibri" w:hAnsi="Calibri"/>
          <w:b/>
          <w:lang w:val="es-DO"/>
        </w:rPr>
        <w:t xml:space="preserve">Comparativo entre las Transferencias del Gobierno Central al Consejo Provincial de </w:t>
      </w:r>
      <w:proofErr w:type="spellStart"/>
      <w:r w:rsidRPr="008E2D67">
        <w:rPr>
          <w:rFonts w:ascii="Calibri" w:hAnsi="Calibri"/>
          <w:b/>
          <w:lang w:val="es-DO"/>
        </w:rPr>
        <w:t>FOMISAR</w:t>
      </w:r>
      <w:proofErr w:type="spellEnd"/>
      <w:r w:rsidRPr="008E2D67">
        <w:rPr>
          <w:rFonts w:ascii="Calibri" w:hAnsi="Calibri"/>
          <w:b/>
          <w:lang w:val="es-DO"/>
        </w:rPr>
        <w:t xml:space="preserve"> y los Fondos Reportados por este Consejo como Recibidos en 20</w:t>
      </w:r>
      <w:r w:rsidR="00CE2077">
        <w:rPr>
          <w:rFonts w:ascii="Calibri" w:hAnsi="Calibri"/>
          <w:b/>
          <w:lang w:val="es-DO"/>
        </w:rPr>
        <w:t>21</w:t>
      </w:r>
      <w:r w:rsidRPr="008E2D67">
        <w:rPr>
          <w:rFonts w:ascii="Calibri" w:hAnsi="Calibri"/>
          <w:b/>
          <w:lang w:val="es-DO"/>
        </w:rPr>
        <w:t xml:space="preserve"> y 20</w:t>
      </w:r>
      <w:r w:rsidR="00CE2077">
        <w:rPr>
          <w:rFonts w:ascii="Calibri" w:hAnsi="Calibri"/>
          <w:b/>
          <w:lang w:val="es-DO"/>
        </w:rPr>
        <w:t>22</w:t>
      </w:r>
    </w:p>
    <w:p w14:paraId="4D4041BB" w14:textId="77777777" w:rsidR="00647FBD" w:rsidRPr="008E2D67" w:rsidRDefault="00647FBD" w:rsidP="00647FBD">
      <w:pPr>
        <w:jc w:val="center"/>
        <w:rPr>
          <w:rFonts w:ascii="Calibri" w:hAnsi="Calibri"/>
          <w:b/>
          <w:lang w:val="es-DO"/>
        </w:rPr>
      </w:pPr>
      <w:r w:rsidRPr="008E2D67">
        <w:rPr>
          <w:rFonts w:ascii="Calibri" w:hAnsi="Calibri"/>
          <w:b/>
          <w:lang w:val="es-DO"/>
        </w:rPr>
        <w:t>En RD$ y %</w:t>
      </w:r>
    </w:p>
    <w:p w14:paraId="35268FBB" w14:textId="2C463C96" w:rsidR="00647FBD" w:rsidRDefault="00AD1BC3" w:rsidP="00647FBD">
      <w:pPr>
        <w:spacing w:after="160" w:line="259" w:lineRule="auto"/>
        <w:jc w:val="center"/>
        <w:rPr>
          <w:rFonts w:ascii="Calibri" w:hAnsi="Calibri"/>
          <w:color w:val="000000"/>
          <w:lang w:val="es-DO"/>
        </w:rPr>
      </w:pPr>
      <w:r w:rsidRPr="00AD1BC3">
        <w:rPr>
          <w:noProof/>
        </w:rPr>
        <w:drawing>
          <wp:inline distT="0" distB="0" distL="0" distR="0" wp14:anchorId="58A847F4" wp14:editId="514AD5DC">
            <wp:extent cx="5581015" cy="1236345"/>
            <wp:effectExtent l="0" t="0" r="635" b="1905"/>
            <wp:docPr id="4125717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19A15" w14:textId="4B6554A2" w:rsidR="00C82561" w:rsidRPr="00C82561" w:rsidRDefault="00C82561" w:rsidP="00C82561">
      <w:pPr>
        <w:spacing w:after="160" w:line="259" w:lineRule="auto"/>
        <w:rPr>
          <w:rFonts w:ascii="Calibri" w:hAnsi="Calibri"/>
          <w:color w:val="000000"/>
          <w:sz w:val="18"/>
          <w:szCs w:val="18"/>
          <w:lang w:val="es-DO"/>
        </w:rPr>
      </w:pPr>
      <w:r w:rsidRPr="00C82561">
        <w:rPr>
          <w:rFonts w:ascii="Calibri" w:hAnsi="Calibri"/>
          <w:b/>
          <w:bCs/>
          <w:color w:val="000000"/>
          <w:sz w:val="18"/>
          <w:szCs w:val="18"/>
          <w:lang w:val="es-DO"/>
        </w:rPr>
        <w:t>Fuente:</w:t>
      </w:r>
      <w:r w:rsidRPr="00C82561">
        <w:rPr>
          <w:rFonts w:ascii="Calibri" w:hAnsi="Calibri"/>
          <w:color w:val="000000"/>
          <w:sz w:val="18"/>
          <w:szCs w:val="18"/>
          <w:lang w:val="es-DO"/>
        </w:rPr>
        <w:t xml:space="preserve"> Elaboración propia</w:t>
      </w:r>
      <w:r>
        <w:rPr>
          <w:rFonts w:ascii="Calibri" w:hAnsi="Calibri"/>
          <w:color w:val="000000"/>
          <w:sz w:val="18"/>
          <w:szCs w:val="18"/>
          <w:lang w:val="es-DO"/>
        </w:rPr>
        <w:t xml:space="preserve"> con datos de </w:t>
      </w:r>
      <w:proofErr w:type="spellStart"/>
      <w:r>
        <w:rPr>
          <w:rFonts w:ascii="Calibri" w:hAnsi="Calibri"/>
          <w:color w:val="000000"/>
          <w:sz w:val="18"/>
          <w:szCs w:val="18"/>
          <w:lang w:val="es-DO"/>
        </w:rPr>
        <w:t>FOMISAR</w:t>
      </w:r>
      <w:proofErr w:type="spellEnd"/>
      <w:r w:rsidRPr="00C82561">
        <w:rPr>
          <w:rFonts w:ascii="Calibri" w:hAnsi="Calibri"/>
          <w:color w:val="000000"/>
          <w:sz w:val="18"/>
          <w:szCs w:val="18"/>
          <w:lang w:val="es-DO"/>
        </w:rPr>
        <w:t>.</w:t>
      </w:r>
    </w:p>
    <w:p w14:paraId="5B4F12DF" w14:textId="77777777" w:rsidR="005F3B5A" w:rsidRPr="008E2D67" w:rsidRDefault="005F3B5A" w:rsidP="002057F9">
      <w:pPr>
        <w:jc w:val="center"/>
        <w:rPr>
          <w:rFonts w:ascii="Calibri" w:hAnsi="Calibri"/>
          <w:color w:val="000000"/>
          <w:lang w:val="es-DO"/>
        </w:rPr>
      </w:pPr>
    </w:p>
    <w:p w14:paraId="2364C8E2" w14:textId="1CAC5E2B" w:rsidR="00647FBD" w:rsidRPr="008E2D67" w:rsidRDefault="00647FBD" w:rsidP="00E04952">
      <w:pPr>
        <w:keepNext/>
        <w:keepLines/>
        <w:spacing w:before="40"/>
        <w:outlineLvl w:val="1"/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</w:pPr>
      <w:bookmarkStart w:id="20" w:name="_Toc31065203"/>
      <w:bookmarkStart w:id="21" w:name="_Toc89157431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2.3 Comparativo entre la Distribución Territorial Establecida por el Marco Legal Vigente y la Ejecutada por el Consejo Provincial de </w:t>
      </w:r>
      <w:proofErr w:type="spellStart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FOMISAR</w:t>
      </w:r>
      <w:proofErr w:type="spellEnd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 en </w:t>
      </w:r>
      <w:r w:rsidR="007966FE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2021</w:t>
      </w:r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 y </w:t>
      </w:r>
      <w:bookmarkEnd w:id="20"/>
      <w:bookmarkEnd w:id="21"/>
      <w:r w:rsidR="007966FE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2022</w:t>
      </w:r>
    </w:p>
    <w:p w14:paraId="6C7B58AC" w14:textId="77777777" w:rsidR="00647FBD" w:rsidRPr="008E2D67" w:rsidRDefault="00647FBD" w:rsidP="00647FBD">
      <w:pPr>
        <w:jc w:val="both"/>
        <w:rPr>
          <w:rFonts w:ascii="Calibri" w:hAnsi="Calibri"/>
          <w:color w:val="FF0000"/>
          <w:lang w:val="es-DO"/>
        </w:rPr>
      </w:pPr>
    </w:p>
    <w:p w14:paraId="53059EC4" w14:textId="579AD18D" w:rsidR="00647FBD" w:rsidRPr="008E2D67" w:rsidRDefault="00647FBD" w:rsidP="00647FBD">
      <w:pPr>
        <w:keepNext/>
        <w:keepLines/>
        <w:spacing w:before="40" w:line="259" w:lineRule="auto"/>
        <w:outlineLvl w:val="2"/>
        <w:rPr>
          <w:rFonts w:ascii="Arial Narrow" w:eastAsia="Times New Roman" w:hAnsi="Arial Narrow"/>
          <w:b/>
          <w:color w:val="000000"/>
          <w:sz w:val="26"/>
          <w:lang w:val="es-DO"/>
        </w:rPr>
      </w:pPr>
      <w:bookmarkStart w:id="22" w:name="_Toc31065204"/>
      <w:bookmarkStart w:id="23" w:name="_Toc89157432"/>
      <w:bookmarkStart w:id="24" w:name="_Hlk31376933"/>
      <w:r w:rsidRPr="008E2D67">
        <w:rPr>
          <w:rFonts w:ascii="Arial Narrow" w:eastAsia="Times New Roman" w:hAnsi="Arial Narrow"/>
          <w:b/>
          <w:color w:val="000000"/>
          <w:sz w:val="26"/>
          <w:lang w:val="es-DO"/>
        </w:rPr>
        <w:t>2.3.1 General (</w:t>
      </w:r>
      <w:r w:rsidR="00235819">
        <w:rPr>
          <w:rFonts w:ascii="Arial Narrow" w:eastAsia="Times New Roman" w:hAnsi="Arial Narrow"/>
          <w:b/>
          <w:color w:val="000000"/>
          <w:sz w:val="26"/>
          <w:lang w:val="es-DO"/>
        </w:rPr>
        <w:t>Primer</w:t>
      </w:r>
      <w:r w:rsidRPr="008E2D67">
        <w:rPr>
          <w:rFonts w:ascii="Arial Narrow" w:eastAsia="Times New Roman" w:hAnsi="Arial Narrow"/>
          <w:b/>
          <w:color w:val="000000"/>
          <w:sz w:val="26"/>
          <w:lang w:val="es-DO"/>
        </w:rPr>
        <w:t xml:space="preserve"> Nivel de Verificación)</w:t>
      </w:r>
      <w:bookmarkEnd w:id="22"/>
      <w:bookmarkEnd w:id="23"/>
    </w:p>
    <w:bookmarkEnd w:id="24"/>
    <w:p w14:paraId="19A8AEC8" w14:textId="77777777" w:rsidR="00647FBD" w:rsidRPr="008E2D67" w:rsidRDefault="00647FBD" w:rsidP="00647FBD">
      <w:pPr>
        <w:jc w:val="both"/>
        <w:rPr>
          <w:rFonts w:ascii="Calibri" w:hAnsi="Calibri"/>
          <w:color w:val="000000"/>
          <w:lang w:val="es-DO"/>
        </w:rPr>
      </w:pPr>
    </w:p>
    <w:p w14:paraId="3B56010B" w14:textId="5115DE53" w:rsidR="00C67C56" w:rsidRDefault="00C67C56" w:rsidP="00C67C56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 xml:space="preserve">En este acápite, se establece una comparación entre las ponderaciones de referencia determinadas por la </w:t>
      </w:r>
      <w:proofErr w:type="spellStart"/>
      <w:r>
        <w:rPr>
          <w:rFonts w:ascii="Calibri" w:hAnsi="Calibri"/>
          <w:color w:val="000000"/>
          <w:lang w:val="es-DO"/>
        </w:rPr>
        <w:t>DAEF</w:t>
      </w:r>
      <w:r w:rsidR="00924A82">
        <w:rPr>
          <w:rFonts w:ascii="Calibri" w:hAnsi="Calibri"/>
          <w:color w:val="000000"/>
          <w:lang w:val="es-DO"/>
        </w:rPr>
        <w:t>S</w:t>
      </w:r>
      <w:proofErr w:type="spellEnd"/>
      <w:r>
        <w:rPr>
          <w:rFonts w:ascii="Calibri" w:hAnsi="Calibri"/>
          <w:color w:val="000000"/>
          <w:lang w:val="es-DO"/>
        </w:rPr>
        <w:t xml:space="preserve">, conforme se presentan en la Tabla No. 2.1.1, y los porcentajes de distribución aplicados por el Consejo Provincial de </w:t>
      </w:r>
      <w:proofErr w:type="spellStart"/>
      <w:r>
        <w:rPr>
          <w:rFonts w:ascii="Calibri" w:hAnsi="Calibri"/>
          <w:color w:val="000000"/>
          <w:lang w:val="es-DO"/>
        </w:rPr>
        <w:t>FOMISAR</w:t>
      </w:r>
      <w:proofErr w:type="spellEnd"/>
      <w:r>
        <w:rPr>
          <w:rFonts w:ascii="Calibri" w:hAnsi="Calibri"/>
          <w:color w:val="000000"/>
          <w:lang w:val="es-DO"/>
        </w:rPr>
        <w:t xml:space="preserve"> en 20</w:t>
      </w:r>
      <w:r w:rsidR="00CE2077">
        <w:rPr>
          <w:rFonts w:ascii="Calibri" w:hAnsi="Calibri"/>
          <w:color w:val="000000"/>
          <w:lang w:val="es-DO"/>
        </w:rPr>
        <w:t>21</w:t>
      </w:r>
      <w:r>
        <w:rPr>
          <w:rFonts w:ascii="Calibri" w:hAnsi="Calibri"/>
          <w:color w:val="000000"/>
          <w:lang w:val="es-DO"/>
        </w:rPr>
        <w:t xml:space="preserve"> y 202</w:t>
      </w:r>
      <w:r w:rsidR="00CE2077">
        <w:rPr>
          <w:rFonts w:ascii="Calibri" w:hAnsi="Calibri"/>
          <w:color w:val="000000"/>
          <w:lang w:val="es-DO"/>
        </w:rPr>
        <w:t>2</w:t>
      </w:r>
      <w:r>
        <w:rPr>
          <w:rFonts w:ascii="Calibri" w:hAnsi="Calibri"/>
          <w:color w:val="000000"/>
          <w:lang w:val="es-DO"/>
        </w:rPr>
        <w:t>, según datos de la Matriz de Distribución de Recursos.</w:t>
      </w:r>
    </w:p>
    <w:p w14:paraId="4E9C688D" w14:textId="2B82B7D2" w:rsidR="00647FBD" w:rsidRDefault="00647FBD" w:rsidP="00647FBD">
      <w:pPr>
        <w:jc w:val="both"/>
        <w:rPr>
          <w:rFonts w:ascii="Calibri" w:hAnsi="Calibri"/>
          <w:color w:val="FF0000"/>
          <w:lang w:val="es-DO"/>
        </w:rPr>
      </w:pPr>
    </w:p>
    <w:p w14:paraId="34E6D695" w14:textId="0CFC7E29" w:rsidR="0088484E" w:rsidRDefault="0088484E" w:rsidP="0088484E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 xml:space="preserve">En tal sentido, a partir de los resultados presentados en las tablas </w:t>
      </w:r>
      <w:r w:rsidR="002057F9">
        <w:rPr>
          <w:rFonts w:ascii="Calibri" w:hAnsi="Calibri"/>
          <w:color w:val="000000"/>
          <w:lang w:val="es-DO"/>
        </w:rPr>
        <w:t>n</w:t>
      </w:r>
      <w:r w:rsidR="002057F9" w:rsidRPr="002057F9">
        <w:rPr>
          <w:rFonts w:ascii="Calibri" w:hAnsi="Calibri"/>
          <w:color w:val="000000"/>
          <w:lang w:val="es-DO"/>
        </w:rPr>
        <w:t>o</w:t>
      </w:r>
      <w:r w:rsidR="002057F9">
        <w:rPr>
          <w:rFonts w:ascii="Calibri" w:hAnsi="Calibri"/>
          <w:color w:val="000000"/>
          <w:lang w:val="es-DO"/>
        </w:rPr>
        <w:t>s</w:t>
      </w:r>
      <w:r w:rsidR="002057F9" w:rsidRPr="002057F9">
        <w:rPr>
          <w:rFonts w:ascii="Calibri" w:hAnsi="Calibri"/>
          <w:color w:val="000000"/>
          <w:lang w:val="es-DO"/>
        </w:rPr>
        <w:t>. 2.3.1.1</w:t>
      </w:r>
      <w:r>
        <w:rPr>
          <w:rFonts w:ascii="Calibri" w:hAnsi="Calibri"/>
          <w:color w:val="000000"/>
          <w:lang w:val="es-DO"/>
        </w:rPr>
        <w:t xml:space="preserve"> </w:t>
      </w:r>
      <w:r w:rsidR="002057F9">
        <w:rPr>
          <w:rFonts w:ascii="Calibri" w:hAnsi="Calibri"/>
          <w:color w:val="000000"/>
          <w:lang w:val="es-DO"/>
        </w:rPr>
        <w:t xml:space="preserve">y </w:t>
      </w:r>
      <w:r w:rsidR="002057F9" w:rsidRPr="002057F9">
        <w:rPr>
          <w:rFonts w:ascii="Calibri" w:hAnsi="Calibri"/>
          <w:color w:val="000000"/>
          <w:lang w:val="es-DO"/>
        </w:rPr>
        <w:t>2.3.1.2</w:t>
      </w:r>
      <w:r w:rsidR="002057F9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>puede observarse que, tanto en 20</w:t>
      </w:r>
      <w:r w:rsidR="00CE2077">
        <w:rPr>
          <w:rFonts w:ascii="Calibri" w:hAnsi="Calibri"/>
          <w:color w:val="000000"/>
          <w:lang w:val="es-DO"/>
        </w:rPr>
        <w:t>21</w:t>
      </w:r>
      <w:r>
        <w:rPr>
          <w:rFonts w:ascii="Calibri" w:hAnsi="Calibri"/>
          <w:color w:val="000000"/>
          <w:lang w:val="es-DO"/>
        </w:rPr>
        <w:t xml:space="preserve"> como en 202</w:t>
      </w:r>
      <w:r w:rsidR="00CE2077">
        <w:rPr>
          <w:rFonts w:ascii="Calibri" w:hAnsi="Calibri"/>
          <w:color w:val="000000"/>
          <w:lang w:val="es-DO"/>
        </w:rPr>
        <w:t>2</w:t>
      </w:r>
      <w:r>
        <w:rPr>
          <w:rFonts w:ascii="Calibri" w:hAnsi="Calibri"/>
          <w:color w:val="000000"/>
          <w:lang w:val="es-DO"/>
        </w:rPr>
        <w:t xml:space="preserve">, la proporción asignada por el Consejo Provincial de </w:t>
      </w:r>
      <w:proofErr w:type="spellStart"/>
      <w:r>
        <w:rPr>
          <w:rFonts w:ascii="Calibri" w:hAnsi="Calibri"/>
          <w:color w:val="000000"/>
          <w:lang w:val="es-DO"/>
        </w:rPr>
        <w:t>FOMISAR</w:t>
      </w:r>
      <w:proofErr w:type="spellEnd"/>
      <w:r>
        <w:rPr>
          <w:rFonts w:ascii="Calibri" w:hAnsi="Calibri"/>
          <w:color w:val="000000"/>
          <w:lang w:val="es-DO"/>
        </w:rPr>
        <w:t xml:space="preserve"> a la Universidad Tecnológica de Cibao Oriental (</w:t>
      </w:r>
      <w:proofErr w:type="spellStart"/>
      <w:r>
        <w:rPr>
          <w:rFonts w:ascii="Calibri" w:hAnsi="Calibri"/>
          <w:color w:val="000000"/>
          <w:lang w:val="es-DO"/>
        </w:rPr>
        <w:t>UTECO</w:t>
      </w:r>
      <w:proofErr w:type="spellEnd"/>
      <w:r>
        <w:rPr>
          <w:rFonts w:ascii="Calibri" w:hAnsi="Calibri"/>
          <w:color w:val="000000"/>
          <w:lang w:val="es-DO"/>
        </w:rPr>
        <w:t xml:space="preserve">) fue inferior al porcentaje establecido en la Ley No. 236-14. Particularmente, </w:t>
      </w:r>
      <w:r w:rsidR="00180C55">
        <w:rPr>
          <w:rFonts w:ascii="Calibri" w:hAnsi="Calibri"/>
          <w:color w:val="000000"/>
          <w:lang w:val="es-DO"/>
        </w:rPr>
        <w:t>5</w:t>
      </w:r>
      <w:r>
        <w:rPr>
          <w:rFonts w:ascii="Calibri" w:hAnsi="Calibri"/>
          <w:color w:val="000000"/>
          <w:lang w:val="es-DO"/>
        </w:rPr>
        <w:t>.</w:t>
      </w:r>
      <w:r w:rsidR="00180C55">
        <w:rPr>
          <w:rFonts w:ascii="Calibri" w:hAnsi="Calibri"/>
          <w:color w:val="000000"/>
          <w:lang w:val="es-DO"/>
        </w:rPr>
        <w:t xml:space="preserve">04 </w:t>
      </w:r>
      <w:r>
        <w:rPr>
          <w:rFonts w:ascii="Calibri" w:hAnsi="Calibri"/>
          <w:color w:val="000000"/>
          <w:lang w:val="es-DO"/>
        </w:rPr>
        <w:t xml:space="preserve">% vs. </w:t>
      </w:r>
      <w:r w:rsidR="00180C55">
        <w:rPr>
          <w:rFonts w:ascii="Calibri" w:hAnsi="Calibri"/>
          <w:color w:val="000000"/>
          <w:lang w:val="es-DO"/>
        </w:rPr>
        <w:t>6</w:t>
      </w:r>
      <w:r>
        <w:rPr>
          <w:rFonts w:ascii="Calibri" w:hAnsi="Calibri"/>
          <w:color w:val="000000"/>
          <w:lang w:val="es-DO"/>
        </w:rPr>
        <w:t>.50</w:t>
      </w:r>
      <w:r w:rsidR="00180C55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>% en 20</w:t>
      </w:r>
      <w:r w:rsidR="00180C55">
        <w:rPr>
          <w:rFonts w:ascii="Calibri" w:hAnsi="Calibri"/>
          <w:color w:val="000000"/>
          <w:lang w:val="es-DO"/>
        </w:rPr>
        <w:t>21</w:t>
      </w:r>
      <w:r>
        <w:rPr>
          <w:rFonts w:ascii="Calibri" w:hAnsi="Calibri"/>
          <w:color w:val="000000"/>
          <w:lang w:val="es-DO"/>
        </w:rPr>
        <w:t>, y 5.</w:t>
      </w:r>
      <w:r w:rsidR="00180C55">
        <w:rPr>
          <w:rFonts w:ascii="Calibri" w:hAnsi="Calibri"/>
          <w:color w:val="000000"/>
          <w:lang w:val="es-DO"/>
        </w:rPr>
        <w:t xml:space="preserve">12 </w:t>
      </w:r>
      <w:r>
        <w:rPr>
          <w:rFonts w:ascii="Calibri" w:hAnsi="Calibri"/>
          <w:color w:val="000000"/>
          <w:lang w:val="es-DO"/>
        </w:rPr>
        <w:t xml:space="preserve">% vs. </w:t>
      </w:r>
      <w:r w:rsidR="00180C55">
        <w:rPr>
          <w:rFonts w:ascii="Calibri" w:hAnsi="Calibri"/>
          <w:color w:val="000000"/>
          <w:lang w:val="es-DO"/>
        </w:rPr>
        <w:t>7</w:t>
      </w:r>
      <w:r>
        <w:rPr>
          <w:rFonts w:ascii="Calibri" w:hAnsi="Calibri"/>
          <w:color w:val="000000"/>
          <w:lang w:val="es-DO"/>
        </w:rPr>
        <w:t>.00</w:t>
      </w:r>
      <w:r w:rsidR="00CD71DE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>% en 202</w:t>
      </w:r>
      <w:r w:rsidR="00180C55">
        <w:rPr>
          <w:rFonts w:ascii="Calibri" w:hAnsi="Calibri"/>
          <w:color w:val="000000"/>
          <w:lang w:val="es-DO"/>
        </w:rPr>
        <w:t>2</w:t>
      </w:r>
      <w:r>
        <w:rPr>
          <w:rFonts w:ascii="Calibri" w:hAnsi="Calibri"/>
          <w:color w:val="000000"/>
          <w:lang w:val="es-DO"/>
        </w:rPr>
        <w:t>.</w:t>
      </w:r>
    </w:p>
    <w:p w14:paraId="16C2D006" w14:textId="77777777" w:rsidR="0088484E" w:rsidRDefault="0088484E" w:rsidP="0088484E">
      <w:pPr>
        <w:jc w:val="both"/>
        <w:rPr>
          <w:rFonts w:ascii="Arial Narrow" w:eastAsia="Times New Roman" w:hAnsi="Arial Narrow"/>
          <w:b/>
          <w:color w:val="000000"/>
          <w:sz w:val="26"/>
          <w:lang w:val="es-DO"/>
        </w:rPr>
      </w:pPr>
    </w:p>
    <w:p w14:paraId="4AB32B01" w14:textId="31487936" w:rsidR="0088484E" w:rsidRDefault="0088484E" w:rsidP="0088484E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 xml:space="preserve">En términos absolutos, el impacto de las proporciones aplicadas por el Consejo Provincial en la asignación correspondiente a </w:t>
      </w:r>
      <w:proofErr w:type="spellStart"/>
      <w:r>
        <w:rPr>
          <w:rFonts w:ascii="Calibri" w:hAnsi="Calibri"/>
          <w:color w:val="000000"/>
          <w:lang w:val="es-DO"/>
        </w:rPr>
        <w:t>UTECO</w:t>
      </w:r>
      <w:proofErr w:type="spellEnd"/>
      <w:r>
        <w:rPr>
          <w:rFonts w:ascii="Calibri" w:hAnsi="Calibri"/>
          <w:color w:val="000000"/>
          <w:lang w:val="es-DO"/>
        </w:rPr>
        <w:t xml:space="preserve"> asciende a menos (-) RD$ </w:t>
      </w:r>
      <w:r w:rsidR="00AF4EDD">
        <w:rPr>
          <w:rFonts w:ascii="Calibri" w:hAnsi="Calibri"/>
          <w:color w:val="000000"/>
          <w:lang w:val="es-DO"/>
        </w:rPr>
        <w:t>2,916,666.26 (</w:t>
      </w:r>
      <w:r>
        <w:rPr>
          <w:rFonts w:ascii="Calibri" w:hAnsi="Calibri"/>
          <w:color w:val="000000"/>
          <w:lang w:val="es-DO"/>
        </w:rPr>
        <w:t>-</w:t>
      </w:r>
      <w:r w:rsidR="00D260D7">
        <w:rPr>
          <w:rFonts w:ascii="Calibri" w:hAnsi="Calibri"/>
          <w:color w:val="000000"/>
          <w:lang w:val="es-DO"/>
        </w:rPr>
        <w:t>22</w:t>
      </w:r>
      <w:r>
        <w:rPr>
          <w:rFonts w:ascii="Calibri" w:hAnsi="Calibri"/>
          <w:color w:val="000000"/>
          <w:lang w:val="es-DO"/>
        </w:rPr>
        <w:t>.</w:t>
      </w:r>
      <w:r w:rsidR="00D260D7">
        <w:rPr>
          <w:rFonts w:ascii="Calibri" w:hAnsi="Calibri"/>
          <w:color w:val="000000"/>
          <w:lang w:val="es-DO"/>
        </w:rPr>
        <w:t xml:space="preserve">44 </w:t>
      </w:r>
      <w:r>
        <w:rPr>
          <w:rFonts w:ascii="Calibri" w:hAnsi="Calibri"/>
          <w:color w:val="000000"/>
          <w:lang w:val="es-DO"/>
        </w:rPr>
        <w:t xml:space="preserve">%) y menos (-) RD$ </w:t>
      </w:r>
      <w:r w:rsidR="00D260D7">
        <w:rPr>
          <w:rFonts w:ascii="Calibri" w:hAnsi="Calibri"/>
          <w:color w:val="000000"/>
          <w:lang w:val="es-DO"/>
        </w:rPr>
        <w:t>5,647,652.92</w:t>
      </w:r>
      <w:r>
        <w:rPr>
          <w:rFonts w:ascii="Calibri" w:hAnsi="Calibri"/>
          <w:color w:val="000000"/>
          <w:lang w:val="es-DO"/>
        </w:rPr>
        <w:t xml:space="preserve"> (-</w:t>
      </w:r>
      <w:r w:rsidR="00D260D7">
        <w:rPr>
          <w:rFonts w:ascii="Calibri" w:hAnsi="Calibri"/>
          <w:color w:val="000000"/>
          <w:lang w:val="es-DO"/>
        </w:rPr>
        <w:t>26</w:t>
      </w:r>
      <w:r>
        <w:rPr>
          <w:rFonts w:ascii="Calibri" w:hAnsi="Calibri"/>
          <w:color w:val="000000"/>
          <w:lang w:val="es-DO"/>
        </w:rPr>
        <w:t>.8</w:t>
      </w:r>
      <w:r w:rsidR="00D260D7">
        <w:rPr>
          <w:rFonts w:ascii="Calibri" w:hAnsi="Calibri"/>
          <w:color w:val="000000"/>
          <w:lang w:val="es-DO"/>
        </w:rPr>
        <w:t xml:space="preserve">9 </w:t>
      </w:r>
      <w:r>
        <w:rPr>
          <w:rFonts w:ascii="Calibri" w:hAnsi="Calibri"/>
          <w:color w:val="000000"/>
          <w:lang w:val="es-DO"/>
        </w:rPr>
        <w:t>%), en 20</w:t>
      </w:r>
      <w:r w:rsidR="00D260D7">
        <w:rPr>
          <w:rFonts w:ascii="Calibri" w:hAnsi="Calibri"/>
          <w:color w:val="000000"/>
          <w:lang w:val="es-DO"/>
        </w:rPr>
        <w:t>21</w:t>
      </w:r>
      <w:r>
        <w:rPr>
          <w:rFonts w:ascii="Calibri" w:hAnsi="Calibri"/>
          <w:color w:val="000000"/>
          <w:lang w:val="es-DO"/>
        </w:rPr>
        <w:t xml:space="preserve"> y en 202</w:t>
      </w:r>
      <w:r w:rsidR="00D260D7">
        <w:rPr>
          <w:rFonts w:ascii="Calibri" w:hAnsi="Calibri"/>
          <w:color w:val="000000"/>
          <w:lang w:val="es-DO"/>
        </w:rPr>
        <w:t>2</w:t>
      </w:r>
      <w:r>
        <w:rPr>
          <w:rFonts w:ascii="Calibri" w:hAnsi="Calibri"/>
          <w:color w:val="000000"/>
          <w:lang w:val="es-DO"/>
        </w:rPr>
        <w:t>, respectivamente.</w:t>
      </w:r>
    </w:p>
    <w:p w14:paraId="5685A160" w14:textId="77777777" w:rsidR="0088484E" w:rsidRDefault="0088484E" w:rsidP="0088484E">
      <w:pPr>
        <w:jc w:val="both"/>
        <w:rPr>
          <w:rFonts w:ascii="Arial Narrow" w:eastAsia="Times New Roman" w:hAnsi="Arial Narrow"/>
          <w:b/>
          <w:color w:val="000000"/>
          <w:sz w:val="26"/>
          <w:lang w:val="es-DO"/>
        </w:rPr>
      </w:pPr>
    </w:p>
    <w:p w14:paraId="5F8CBBCF" w14:textId="3FF1CD12" w:rsidR="0088484E" w:rsidRDefault="0088484E" w:rsidP="0088484E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>En lo que respecta al municipio de Cotuí, para el año 20</w:t>
      </w:r>
      <w:r w:rsidR="001E79D6">
        <w:rPr>
          <w:rFonts w:ascii="Calibri" w:hAnsi="Calibri"/>
          <w:color w:val="000000"/>
          <w:lang w:val="es-DO"/>
        </w:rPr>
        <w:t>21</w:t>
      </w:r>
      <w:r>
        <w:rPr>
          <w:rFonts w:ascii="Calibri" w:hAnsi="Calibri"/>
          <w:color w:val="000000"/>
          <w:lang w:val="es-DO"/>
        </w:rPr>
        <w:t xml:space="preserve">, el monto distribuido por </w:t>
      </w:r>
      <w:proofErr w:type="spellStart"/>
      <w:r>
        <w:rPr>
          <w:rFonts w:ascii="Calibri" w:hAnsi="Calibri"/>
          <w:color w:val="000000"/>
          <w:lang w:val="es-DO"/>
        </w:rPr>
        <w:t>FOMISAR</w:t>
      </w:r>
      <w:proofErr w:type="spellEnd"/>
      <w:r>
        <w:rPr>
          <w:rFonts w:ascii="Calibri" w:hAnsi="Calibri"/>
          <w:color w:val="000000"/>
          <w:lang w:val="es-DO"/>
        </w:rPr>
        <w:t xml:space="preserve"> fue </w:t>
      </w:r>
      <w:r w:rsidR="001E79D6">
        <w:rPr>
          <w:rFonts w:ascii="Calibri" w:hAnsi="Calibri"/>
          <w:color w:val="000000"/>
          <w:lang w:val="es-DO"/>
        </w:rPr>
        <w:t>superior</w:t>
      </w:r>
      <w:r>
        <w:rPr>
          <w:rFonts w:ascii="Calibri" w:hAnsi="Calibri"/>
          <w:color w:val="000000"/>
          <w:lang w:val="es-DO"/>
        </w:rPr>
        <w:t xml:space="preserve"> en RD$ </w:t>
      </w:r>
      <w:r w:rsidR="001E79D6">
        <w:rPr>
          <w:rFonts w:ascii="Calibri" w:hAnsi="Calibri"/>
          <w:color w:val="000000"/>
          <w:lang w:val="es-DO"/>
        </w:rPr>
        <w:t>1,166,666.50</w:t>
      </w:r>
      <w:r>
        <w:rPr>
          <w:rFonts w:ascii="Calibri" w:hAnsi="Calibri"/>
          <w:color w:val="000000"/>
          <w:lang w:val="es-DO"/>
        </w:rPr>
        <w:t xml:space="preserve">, equivalente a </w:t>
      </w:r>
      <w:r w:rsidR="001E79D6">
        <w:rPr>
          <w:rFonts w:ascii="Calibri" w:hAnsi="Calibri"/>
          <w:color w:val="000000"/>
          <w:lang w:val="es-DO"/>
        </w:rPr>
        <w:t>un 1.71</w:t>
      </w:r>
      <w:r w:rsidR="00E329A3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>%. Mientras que, en 202</w:t>
      </w:r>
      <w:r w:rsidR="001E79D6">
        <w:rPr>
          <w:rFonts w:ascii="Calibri" w:hAnsi="Calibri"/>
          <w:color w:val="000000"/>
          <w:lang w:val="es-DO"/>
        </w:rPr>
        <w:t>2</w:t>
      </w:r>
      <w:r>
        <w:rPr>
          <w:rFonts w:ascii="Calibri" w:hAnsi="Calibri"/>
          <w:color w:val="000000"/>
          <w:lang w:val="es-DO"/>
        </w:rPr>
        <w:t xml:space="preserve"> Cotuí recibió RD$ </w:t>
      </w:r>
      <w:r w:rsidR="001E79D6">
        <w:rPr>
          <w:rFonts w:ascii="Calibri" w:hAnsi="Calibri"/>
          <w:color w:val="000000"/>
          <w:lang w:val="es-DO"/>
        </w:rPr>
        <w:t>2,259,061.16</w:t>
      </w:r>
      <w:r>
        <w:rPr>
          <w:rFonts w:ascii="Calibri" w:hAnsi="Calibri"/>
          <w:color w:val="000000"/>
          <w:lang w:val="es-DO"/>
        </w:rPr>
        <w:t xml:space="preserve"> por encima del monto de la ponderación de referencia, lo que equivale a un </w:t>
      </w:r>
      <w:r w:rsidR="001E79D6">
        <w:rPr>
          <w:rFonts w:ascii="Calibri" w:hAnsi="Calibri"/>
          <w:color w:val="000000"/>
          <w:lang w:val="es-DO"/>
        </w:rPr>
        <w:t>2</w:t>
      </w:r>
      <w:r>
        <w:rPr>
          <w:rFonts w:ascii="Calibri" w:hAnsi="Calibri"/>
          <w:color w:val="000000"/>
          <w:lang w:val="es-DO"/>
        </w:rPr>
        <w:t>.</w:t>
      </w:r>
      <w:r w:rsidR="001E79D6">
        <w:rPr>
          <w:rFonts w:ascii="Calibri" w:hAnsi="Calibri"/>
          <w:color w:val="000000"/>
          <w:lang w:val="es-DO"/>
        </w:rPr>
        <w:t xml:space="preserve">19 </w:t>
      </w:r>
      <w:r>
        <w:rPr>
          <w:rFonts w:ascii="Calibri" w:hAnsi="Calibri"/>
          <w:color w:val="000000"/>
          <w:lang w:val="es-DO"/>
        </w:rPr>
        <w:t>% por encima del valor estipulado en el marco regulatorio vigente.</w:t>
      </w:r>
    </w:p>
    <w:p w14:paraId="350DEF88" w14:textId="77777777" w:rsidR="0088484E" w:rsidRDefault="0088484E" w:rsidP="0088484E">
      <w:pPr>
        <w:jc w:val="both"/>
        <w:rPr>
          <w:rFonts w:ascii="Calibri" w:hAnsi="Calibri"/>
          <w:color w:val="000000"/>
          <w:lang w:val="es-DO"/>
        </w:rPr>
      </w:pPr>
    </w:p>
    <w:p w14:paraId="06E049F4" w14:textId="77777777" w:rsidR="004755C2" w:rsidRDefault="004755C2" w:rsidP="0088484E">
      <w:pPr>
        <w:jc w:val="both"/>
        <w:rPr>
          <w:rFonts w:ascii="Calibri" w:hAnsi="Calibri"/>
          <w:color w:val="000000"/>
          <w:lang w:val="es-DO"/>
        </w:rPr>
      </w:pPr>
    </w:p>
    <w:p w14:paraId="72AB0D7E" w14:textId="7356712A" w:rsidR="0088484E" w:rsidRDefault="0088484E" w:rsidP="0088484E">
      <w:pPr>
        <w:jc w:val="both"/>
        <w:rPr>
          <w:rFonts w:ascii="Calibri" w:hAnsi="Calibri"/>
          <w:color w:val="000000"/>
          <w:lang w:val="es-DO"/>
        </w:rPr>
      </w:pPr>
      <w:bookmarkStart w:id="25" w:name="_Hlk89078458"/>
      <w:r>
        <w:rPr>
          <w:rFonts w:ascii="Calibri" w:hAnsi="Calibri"/>
          <w:color w:val="000000"/>
          <w:lang w:val="es-DO"/>
        </w:rPr>
        <w:lastRenderedPageBreak/>
        <w:t>Por su parte, en 20</w:t>
      </w:r>
      <w:r w:rsidR="001E79D6">
        <w:rPr>
          <w:rFonts w:ascii="Calibri" w:hAnsi="Calibri"/>
          <w:color w:val="000000"/>
          <w:lang w:val="es-DO"/>
        </w:rPr>
        <w:t>21</w:t>
      </w:r>
      <w:r>
        <w:rPr>
          <w:rFonts w:ascii="Calibri" w:hAnsi="Calibri"/>
          <w:color w:val="000000"/>
          <w:lang w:val="es-DO"/>
        </w:rPr>
        <w:t xml:space="preserve"> los demás municipios de la provincia Sánchez Ramírez recibieron un monto superior al calculado a partir de las ponderaciones de referencia. Se trata de una asignación superior en RD$</w:t>
      </w:r>
      <w:r w:rsidR="001E79D6">
        <w:rPr>
          <w:rFonts w:ascii="Calibri" w:hAnsi="Calibri"/>
          <w:color w:val="000000"/>
          <w:lang w:val="es-DO"/>
        </w:rPr>
        <w:t xml:space="preserve"> 1,166,666.50</w:t>
      </w:r>
      <w:r>
        <w:rPr>
          <w:rFonts w:ascii="Calibri" w:hAnsi="Calibri"/>
          <w:color w:val="000000"/>
          <w:lang w:val="es-DO"/>
        </w:rPr>
        <w:t xml:space="preserve"> al valor correspondiente, lo que equivale a una diferencia porcentual de 1.</w:t>
      </w:r>
      <w:r w:rsidR="001E79D6">
        <w:rPr>
          <w:rFonts w:ascii="Calibri" w:hAnsi="Calibri"/>
          <w:color w:val="000000"/>
          <w:lang w:val="es-DO"/>
        </w:rPr>
        <w:t xml:space="preserve">71 </w:t>
      </w:r>
      <w:r>
        <w:rPr>
          <w:rFonts w:ascii="Calibri" w:hAnsi="Calibri"/>
          <w:color w:val="000000"/>
          <w:lang w:val="es-DO"/>
        </w:rPr>
        <w:t xml:space="preserve">%. De modo que, las diferencias negativas registradas en la asignación de la universidad </w:t>
      </w:r>
      <w:proofErr w:type="spellStart"/>
      <w:r w:rsidR="008E628E">
        <w:rPr>
          <w:rFonts w:ascii="Calibri" w:hAnsi="Calibri"/>
          <w:color w:val="000000"/>
          <w:lang w:val="es-DO"/>
        </w:rPr>
        <w:t>UTECO</w:t>
      </w:r>
      <w:proofErr w:type="spellEnd"/>
      <w:r w:rsidR="008E628E">
        <w:rPr>
          <w:rFonts w:ascii="Calibri" w:hAnsi="Calibri"/>
          <w:color w:val="000000"/>
          <w:lang w:val="es-DO"/>
        </w:rPr>
        <w:t xml:space="preserve"> se</w:t>
      </w:r>
      <w:r>
        <w:rPr>
          <w:rFonts w:ascii="Calibri" w:hAnsi="Calibri"/>
          <w:color w:val="000000"/>
          <w:lang w:val="es-DO"/>
        </w:rPr>
        <w:t xml:space="preserve"> convierten en desviaciones positivas para la partida </w:t>
      </w:r>
      <w:r w:rsidR="001E79D6">
        <w:rPr>
          <w:rFonts w:ascii="Calibri" w:hAnsi="Calibri"/>
          <w:color w:val="000000"/>
          <w:lang w:val="es-DO"/>
        </w:rPr>
        <w:t xml:space="preserve">del municipio de </w:t>
      </w:r>
      <w:r w:rsidR="00E329A3">
        <w:rPr>
          <w:rFonts w:ascii="Calibri" w:hAnsi="Calibri"/>
          <w:color w:val="000000"/>
          <w:lang w:val="es-DO"/>
        </w:rPr>
        <w:t>Cotuí y</w:t>
      </w:r>
      <w:r w:rsidR="001E79D6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>de los demás municipios.</w:t>
      </w:r>
    </w:p>
    <w:bookmarkEnd w:id="25"/>
    <w:p w14:paraId="48C5A9E2" w14:textId="7356712A" w:rsidR="003A5CDF" w:rsidRPr="008E2D67" w:rsidRDefault="003A5CDF" w:rsidP="00647FBD">
      <w:pPr>
        <w:jc w:val="both"/>
        <w:rPr>
          <w:rFonts w:ascii="Calibri" w:hAnsi="Calibri"/>
          <w:color w:val="FF0000"/>
          <w:lang w:val="es-DO"/>
        </w:rPr>
      </w:pPr>
    </w:p>
    <w:p w14:paraId="6163B978" w14:textId="77777777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>Tabla No. 2.3.1.1</w:t>
      </w:r>
    </w:p>
    <w:p w14:paraId="49CF1F0A" w14:textId="77777777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 xml:space="preserve">Distribución de los Fondos Recibidos por el Consejo Provincial de </w:t>
      </w:r>
      <w:proofErr w:type="spellStart"/>
      <w:r w:rsidRPr="008E2D67">
        <w:rPr>
          <w:rFonts w:ascii="Calibri" w:hAnsi="Calibri"/>
          <w:b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b/>
          <w:color w:val="000000"/>
          <w:lang w:val="es-DO"/>
        </w:rPr>
        <w:t xml:space="preserve"> </w:t>
      </w:r>
    </w:p>
    <w:p w14:paraId="29E6926F" w14:textId="5E9B99F0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>20</w:t>
      </w:r>
      <w:r w:rsidR="00CE2077">
        <w:rPr>
          <w:rFonts w:ascii="Calibri" w:hAnsi="Calibri"/>
          <w:b/>
          <w:color w:val="000000"/>
          <w:lang w:val="es-DO"/>
        </w:rPr>
        <w:t>21</w:t>
      </w:r>
      <w:r w:rsidRPr="008E2D67">
        <w:rPr>
          <w:rFonts w:ascii="Calibri" w:hAnsi="Calibri"/>
          <w:b/>
          <w:color w:val="000000"/>
          <w:lang w:val="es-DO"/>
        </w:rPr>
        <w:t xml:space="preserve"> y 202</w:t>
      </w:r>
      <w:r w:rsidR="00CE2077">
        <w:rPr>
          <w:rFonts w:ascii="Calibri" w:hAnsi="Calibri"/>
          <w:b/>
          <w:color w:val="000000"/>
          <w:lang w:val="es-DO"/>
        </w:rPr>
        <w:t>2</w:t>
      </w:r>
    </w:p>
    <w:p w14:paraId="3D62ED70" w14:textId="626323B1" w:rsidR="00145E3D" w:rsidRPr="00012FFE" w:rsidRDefault="001F0BC0" w:rsidP="008E628E">
      <w:pPr>
        <w:ind w:left="-567"/>
        <w:jc w:val="center"/>
        <w:rPr>
          <w:rFonts w:ascii="Calibri" w:hAnsi="Calibri"/>
          <w:b/>
          <w:color w:val="000000"/>
          <w:lang w:val="es-DO"/>
        </w:rPr>
      </w:pPr>
      <w:r>
        <w:rPr>
          <w:rFonts w:ascii="Calibri" w:hAnsi="Calibri"/>
          <w:noProof/>
          <w:color w:val="000000"/>
          <w:lang w:val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007A31" wp14:editId="38C545FE">
                <wp:simplePos x="0" y="0"/>
                <wp:positionH relativeFrom="column">
                  <wp:posOffset>-357695</wp:posOffset>
                </wp:positionH>
                <wp:positionV relativeFrom="paragraph">
                  <wp:posOffset>5714365</wp:posOffset>
                </wp:positionV>
                <wp:extent cx="6376670" cy="0"/>
                <wp:effectExtent l="0" t="0" r="0" b="0"/>
                <wp:wrapNone/>
                <wp:docPr id="188783829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EFAC01" id="Conector recto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449.95pt" to="473.95pt,4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012FFE" w:rsidRPr="00012FFE">
        <w:rPr>
          <w:noProof/>
        </w:rPr>
        <w:drawing>
          <wp:inline distT="0" distB="0" distL="0" distR="0" wp14:anchorId="02D4BCAD" wp14:editId="6CD7ED46">
            <wp:extent cx="6376670" cy="5723906"/>
            <wp:effectExtent l="0" t="0" r="5080" b="0"/>
            <wp:docPr id="17709812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401" cy="573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9717B" w14:textId="582018C5" w:rsidR="00647F95" w:rsidRPr="008E2D67" w:rsidRDefault="001F0BC0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noProof/>
          <w:color w:val="000000"/>
          <w:lang w:val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5F195" wp14:editId="5616E695">
                <wp:simplePos x="0" y="0"/>
                <wp:positionH relativeFrom="column">
                  <wp:posOffset>-426085</wp:posOffset>
                </wp:positionH>
                <wp:positionV relativeFrom="paragraph">
                  <wp:posOffset>232319</wp:posOffset>
                </wp:positionV>
                <wp:extent cx="6527800" cy="333375"/>
                <wp:effectExtent l="0" t="0" r="25400" b="28575"/>
                <wp:wrapNone/>
                <wp:docPr id="1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3B681DE" w14:textId="0659BA4B" w:rsidR="00647FBD" w:rsidRPr="00A005CD" w:rsidRDefault="00647FBD" w:rsidP="00647F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A005C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Fuente:</w:t>
                            </w:r>
                            <w:r w:rsidRPr="00A005C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="000D20F9" w:rsidRPr="000D20F9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Matriz de Distribución de Recursos 20</w:t>
                            </w:r>
                            <w:r w:rsidR="00E329A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21</w:t>
                            </w:r>
                            <w:r w:rsidR="000D20F9" w:rsidRPr="000D20F9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y 202</w:t>
                            </w:r>
                            <w:r w:rsidR="00E329A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2</w:t>
                            </w:r>
                            <w:r w:rsidR="000D20F9" w:rsidRPr="000D20F9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Pr="00A005C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(elaborado por el Consejo Provincial de FOMISAR) y Elaboración DAEF</w:t>
                            </w:r>
                            <w:r w:rsidR="006A3320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</w:t>
                            </w:r>
                            <w:r w:rsidRPr="00A005C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5F195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-33.55pt;margin-top:18.3pt;width:514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" fillcolor="window" strokecolor="window" strokeweight=".5pt">
                <v:textbox>
                  <w:txbxContent>
                    <w:p w14:paraId="53B681DE" w14:textId="0659BA4B" w:rsidR="00647FBD" w:rsidRPr="00A005CD" w:rsidRDefault="00647FBD" w:rsidP="00647FBD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A005CD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Fuente:</w:t>
                      </w:r>
                      <w:r w:rsidRPr="00A005CD"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="000D20F9" w:rsidRPr="000D20F9">
                        <w:rPr>
                          <w:rFonts w:asciiTheme="minorHAnsi" w:hAnsiTheme="minorHAnsi" w:cstheme="minorHAnsi"/>
                          <w:sz w:val="18"/>
                        </w:rPr>
                        <w:t>Matriz de Distribución de Recursos 20</w:t>
                      </w:r>
                      <w:r w:rsidR="00E329A3">
                        <w:rPr>
                          <w:rFonts w:asciiTheme="minorHAnsi" w:hAnsiTheme="minorHAnsi" w:cstheme="minorHAnsi"/>
                          <w:sz w:val="18"/>
                        </w:rPr>
                        <w:t>21</w:t>
                      </w:r>
                      <w:r w:rsidR="000D20F9" w:rsidRPr="000D20F9">
                        <w:rPr>
                          <w:rFonts w:asciiTheme="minorHAnsi" w:hAnsiTheme="minorHAnsi" w:cstheme="minorHAnsi"/>
                          <w:sz w:val="18"/>
                        </w:rPr>
                        <w:t xml:space="preserve"> y 202</w:t>
                      </w:r>
                      <w:r w:rsidR="00E329A3">
                        <w:rPr>
                          <w:rFonts w:asciiTheme="minorHAnsi" w:hAnsiTheme="minorHAnsi" w:cstheme="minorHAnsi"/>
                          <w:sz w:val="18"/>
                        </w:rPr>
                        <w:t>2</w:t>
                      </w:r>
                      <w:r w:rsidR="000D20F9" w:rsidRPr="000D20F9"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Pr="00A005CD">
                        <w:rPr>
                          <w:rFonts w:asciiTheme="minorHAnsi" w:hAnsiTheme="minorHAnsi" w:cstheme="minorHAnsi"/>
                          <w:sz w:val="18"/>
                        </w:rPr>
                        <w:t>(elaborado por el Consejo Provincial de FOMISAR) y Elaboración DAEF</w:t>
                      </w:r>
                      <w:r w:rsidR="006A3320">
                        <w:rPr>
                          <w:rFonts w:asciiTheme="minorHAnsi" w:hAnsiTheme="minorHAnsi" w:cstheme="minorHAnsi"/>
                          <w:sz w:val="18"/>
                        </w:rPr>
                        <w:t>S</w:t>
                      </w:r>
                      <w:r w:rsidRPr="00A005CD">
                        <w:rPr>
                          <w:rFonts w:asciiTheme="minorHAnsi" w:hAnsiTheme="minorHAnsi" w:cstheme="minorHAnsi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B65A224" w14:textId="29D33B5F" w:rsidR="009065AC" w:rsidRDefault="009065AC" w:rsidP="00012FFE">
      <w:pPr>
        <w:rPr>
          <w:rFonts w:ascii="Calibri" w:hAnsi="Calibri"/>
          <w:b/>
          <w:color w:val="000000"/>
          <w:lang w:val="es-DO"/>
        </w:rPr>
      </w:pPr>
    </w:p>
    <w:p w14:paraId="78FD9D70" w14:textId="0C0280CE" w:rsidR="006867E1" w:rsidRDefault="00647FBD" w:rsidP="004755C2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lastRenderedPageBreak/>
        <w:t xml:space="preserve">Tabla No. </w:t>
      </w:r>
      <w:bookmarkStart w:id="26" w:name="_Hlk89156302"/>
      <w:r w:rsidRPr="008E2D67">
        <w:rPr>
          <w:rFonts w:ascii="Calibri" w:hAnsi="Calibri"/>
          <w:b/>
          <w:color w:val="000000"/>
          <w:lang w:val="es-DO"/>
        </w:rPr>
        <w:t>2.3.1.2</w:t>
      </w:r>
      <w:bookmarkEnd w:id="26"/>
    </w:p>
    <w:p w14:paraId="397C6850" w14:textId="77777777" w:rsidR="004755C2" w:rsidRDefault="004755C2" w:rsidP="004755C2">
      <w:pPr>
        <w:jc w:val="center"/>
        <w:rPr>
          <w:rFonts w:ascii="Calibri" w:hAnsi="Calibri"/>
          <w:b/>
          <w:color w:val="000000"/>
          <w:lang w:val="es-DO"/>
        </w:rPr>
      </w:pPr>
    </w:p>
    <w:p w14:paraId="5FD64F87" w14:textId="0F8E6C33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 xml:space="preserve">Diferencia entre la Distribución de Fondos aplicando las Ponderaciones de Referencia y lo Ejecutado por el Consejo Provincial de </w:t>
      </w:r>
      <w:proofErr w:type="spellStart"/>
      <w:r w:rsidRPr="008E2D67">
        <w:rPr>
          <w:rFonts w:ascii="Calibri" w:hAnsi="Calibri"/>
          <w:b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b/>
          <w:color w:val="000000"/>
          <w:lang w:val="es-DO"/>
        </w:rPr>
        <w:t xml:space="preserve"> </w:t>
      </w:r>
    </w:p>
    <w:p w14:paraId="06460DAD" w14:textId="6BCCDF5B" w:rsidR="006C1C04" w:rsidRDefault="00647FBD" w:rsidP="006C1C04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>20</w:t>
      </w:r>
      <w:r w:rsidR="00E329A3">
        <w:rPr>
          <w:rFonts w:ascii="Calibri" w:hAnsi="Calibri"/>
          <w:b/>
          <w:color w:val="000000"/>
          <w:lang w:val="es-DO"/>
        </w:rPr>
        <w:t>21</w:t>
      </w:r>
      <w:r w:rsidRPr="008E2D67">
        <w:rPr>
          <w:rFonts w:ascii="Calibri" w:hAnsi="Calibri"/>
          <w:b/>
          <w:color w:val="000000"/>
          <w:lang w:val="es-DO"/>
        </w:rPr>
        <w:t xml:space="preserve"> y 202</w:t>
      </w:r>
      <w:r w:rsidR="00E329A3">
        <w:rPr>
          <w:rFonts w:ascii="Calibri" w:hAnsi="Calibri"/>
          <w:b/>
          <w:color w:val="000000"/>
          <w:lang w:val="es-DO"/>
        </w:rPr>
        <w:t>2</w:t>
      </w:r>
    </w:p>
    <w:p w14:paraId="73828410" w14:textId="77777777" w:rsidR="006C1C04" w:rsidRPr="002057F9" w:rsidRDefault="006C1C04" w:rsidP="006C1C04">
      <w:pPr>
        <w:jc w:val="center"/>
        <w:rPr>
          <w:rFonts w:ascii="Calibri" w:hAnsi="Calibri"/>
          <w:b/>
          <w:color w:val="000000"/>
          <w:sz w:val="18"/>
          <w:szCs w:val="18"/>
          <w:lang w:val="es-DO"/>
        </w:rPr>
      </w:pPr>
    </w:p>
    <w:p w14:paraId="75F0E6E4" w14:textId="7081B100" w:rsidR="006C1C04" w:rsidRDefault="009C2A27" w:rsidP="006C1C04">
      <w:pPr>
        <w:ind w:left="-1134"/>
        <w:jc w:val="both"/>
        <w:rPr>
          <w:rFonts w:ascii="Calibri" w:hAnsi="Calibri"/>
          <w:color w:val="000000"/>
          <w:sz w:val="18"/>
          <w:szCs w:val="18"/>
          <w:lang w:val="es-DO"/>
        </w:rPr>
      </w:pPr>
      <w:r w:rsidRPr="009C2A27">
        <w:rPr>
          <w:noProof/>
        </w:rPr>
        <w:drawing>
          <wp:inline distT="0" distB="0" distL="0" distR="0" wp14:anchorId="3AAE2855" wp14:editId="49742704">
            <wp:extent cx="7052310" cy="6697683"/>
            <wp:effectExtent l="0" t="0" r="0" b="8255"/>
            <wp:docPr id="153521954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795" cy="672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B00C3" w14:textId="11BFF0A5" w:rsidR="006C1C04" w:rsidRPr="008E2D67" w:rsidRDefault="00E329A3" w:rsidP="00647FBD">
      <w:pPr>
        <w:jc w:val="both"/>
        <w:rPr>
          <w:rFonts w:ascii="Calibri" w:hAnsi="Calibri"/>
          <w:color w:val="000000"/>
          <w:sz w:val="18"/>
          <w:szCs w:val="18"/>
          <w:lang w:val="es-DO"/>
        </w:rPr>
      </w:pPr>
      <w:r w:rsidRPr="008E2D67">
        <w:rPr>
          <w:rFonts w:ascii="Calibri" w:hAnsi="Calibri"/>
          <w:noProof/>
          <w:color w:val="000000"/>
          <w:lang w:val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A2368D" wp14:editId="0093DF14">
                <wp:simplePos x="0" y="0"/>
                <wp:positionH relativeFrom="column">
                  <wp:posOffset>-765175</wp:posOffset>
                </wp:positionH>
                <wp:positionV relativeFrom="paragraph">
                  <wp:posOffset>12065</wp:posOffset>
                </wp:positionV>
                <wp:extent cx="6527800" cy="285750"/>
                <wp:effectExtent l="0" t="0" r="25400" b="19050"/>
                <wp:wrapNone/>
                <wp:docPr id="13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EE1A286" w14:textId="3035430B" w:rsidR="00145E3D" w:rsidRPr="00A005CD" w:rsidRDefault="00145E3D" w:rsidP="00145E3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A005C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Fuente:</w:t>
                            </w:r>
                            <w:r w:rsidRPr="00A005C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Pr="000D20F9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Matriz de Distribución de Recursos 20</w:t>
                            </w:r>
                            <w:r w:rsidR="00E329A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21</w:t>
                            </w:r>
                            <w:r w:rsidRPr="000D20F9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y 202</w:t>
                            </w:r>
                            <w:r w:rsidR="00E329A3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2</w:t>
                            </w:r>
                            <w:r w:rsidRPr="000D20F9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Pr="00A005C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(elaborado por el Consejo Provincial de FOMISAR) y Elaboración DAEF</w:t>
                            </w:r>
                            <w:r w:rsidR="006A3320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</w:t>
                            </w:r>
                            <w:r w:rsidRPr="00A005CD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368D" id="_x0000_s1027" type="#_x0000_t202" style="position:absolute;left:0;text-align:left;margin-left:-60.25pt;margin-top:.95pt;width:514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" fillcolor="window" strokecolor="window" strokeweight=".5pt">
                <v:textbox>
                  <w:txbxContent>
                    <w:p w14:paraId="1EE1A286" w14:textId="3035430B" w:rsidR="00145E3D" w:rsidRPr="00A005CD" w:rsidRDefault="00145E3D" w:rsidP="00145E3D">
                      <w:pPr>
                        <w:jc w:val="both"/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A005CD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Fuente:</w:t>
                      </w:r>
                      <w:r w:rsidRPr="00A005CD"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Pr="000D20F9">
                        <w:rPr>
                          <w:rFonts w:asciiTheme="minorHAnsi" w:hAnsiTheme="minorHAnsi" w:cstheme="minorHAnsi"/>
                          <w:sz w:val="18"/>
                        </w:rPr>
                        <w:t>Matriz de Distribución de Recursos 20</w:t>
                      </w:r>
                      <w:r w:rsidR="00E329A3">
                        <w:rPr>
                          <w:rFonts w:asciiTheme="minorHAnsi" w:hAnsiTheme="minorHAnsi" w:cstheme="minorHAnsi"/>
                          <w:sz w:val="18"/>
                        </w:rPr>
                        <w:t>21</w:t>
                      </w:r>
                      <w:r w:rsidRPr="000D20F9">
                        <w:rPr>
                          <w:rFonts w:asciiTheme="minorHAnsi" w:hAnsiTheme="minorHAnsi" w:cstheme="minorHAnsi"/>
                          <w:sz w:val="18"/>
                        </w:rPr>
                        <w:t xml:space="preserve"> y 202</w:t>
                      </w:r>
                      <w:r w:rsidR="00E329A3">
                        <w:rPr>
                          <w:rFonts w:asciiTheme="minorHAnsi" w:hAnsiTheme="minorHAnsi" w:cstheme="minorHAnsi"/>
                          <w:sz w:val="18"/>
                        </w:rPr>
                        <w:t>2</w:t>
                      </w:r>
                      <w:r w:rsidRPr="000D20F9"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Pr="00A005CD">
                        <w:rPr>
                          <w:rFonts w:asciiTheme="minorHAnsi" w:hAnsiTheme="minorHAnsi" w:cstheme="minorHAnsi"/>
                          <w:sz w:val="18"/>
                        </w:rPr>
                        <w:t>(elaborado por el Consejo Provincial de FOMISAR) y Elaboración DAEF</w:t>
                      </w:r>
                      <w:r w:rsidR="006A3320">
                        <w:rPr>
                          <w:rFonts w:asciiTheme="minorHAnsi" w:hAnsiTheme="minorHAnsi" w:cstheme="minorHAnsi"/>
                          <w:sz w:val="18"/>
                        </w:rPr>
                        <w:t>S</w:t>
                      </w:r>
                      <w:r w:rsidRPr="00A005CD">
                        <w:rPr>
                          <w:rFonts w:asciiTheme="minorHAnsi" w:hAnsiTheme="minorHAnsi" w:cstheme="minorHAnsi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0DE3730" w14:textId="77777777" w:rsidR="00E329A3" w:rsidRDefault="00E329A3" w:rsidP="00C67C56">
      <w:pPr>
        <w:jc w:val="both"/>
        <w:rPr>
          <w:rFonts w:ascii="Calibri" w:hAnsi="Calibri"/>
          <w:color w:val="000000"/>
          <w:lang w:val="es-DO"/>
        </w:rPr>
      </w:pPr>
    </w:p>
    <w:p w14:paraId="10FBC4A2" w14:textId="77777777" w:rsidR="00E329A3" w:rsidRDefault="00E329A3" w:rsidP="00C67C56">
      <w:pPr>
        <w:jc w:val="both"/>
        <w:rPr>
          <w:rFonts w:ascii="Calibri" w:hAnsi="Calibri"/>
          <w:color w:val="000000"/>
          <w:lang w:val="es-DO"/>
        </w:rPr>
      </w:pPr>
    </w:p>
    <w:p w14:paraId="2696E6D1" w14:textId="65F10634" w:rsidR="00C67C56" w:rsidRDefault="00C67C56" w:rsidP="00C67C56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>En 202</w:t>
      </w:r>
      <w:r w:rsidR="00E329A3">
        <w:rPr>
          <w:rFonts w:ascii="Calibri" w:hAnsi="Calibri"/>
          <w:color w:val="000000"/>
          <w:lang w:val="es-DO"/>
        </w:rPr>
        <w:t>2</w:t>
      </w:r>
      <w:r>
        <w:rPr>
          <w:rFonts w:ascii="Calibri" w:hAnsi="Calibri"/>
          <w:color w:val="000000"/>
          <w:lang w:val="es-DO"/>
        </w:rPr>
        <w:t xml:space="preserve">, los demás municipios también registraron un valor superior al monto de la ponderación de referencia. </w:t>
      </w:r>
      <w:r w:rsidR="008B5F77">
        <w:rPr>
          <w:rFonts w:ascii="Calibri" w:hAnsi="Calibri"/>
          <w:color w:val="000000"/>
          <w:lang w:val="es-DO"/>
        </w:rPr>
        <w:t>Estos obtuvieron un valor</w:t>
      </w:r>
      <w:r>
        <w:rPr>
          <w:rFonts w:ascii="Calibri" w:hAnsi="Calibri"/>
          <w:color w:val="000000"/>
          <w:lang w:val="es-DO"/>
        </w:rPr>
        <w:t xml:space="preserve"> ascendente a RD$ </w:t>
      </w:r>
      <w:r w:rsidR="008B5F77">
        <w:rPr>
          <w:rFonts w:ascii="Calibri" w:hAnsi="Calibri"/>
          <w:color w:val="000000"/>
          <w:lang w:val="es-DO"/>
        </w:rPr>
        <w:t>2,259,061.17</w:t>
      </w:r>
      <w:r>
        <w:rPr>
          <w:rFonts w:ascii="Calibri" w:hAnsi="Calibri"/>
          <w:color w:val="000000"/>
          <w:lang w:val="es-DO"/>
        </w:rPr>
        <w:t xml:space="preserve"> (</w:t>
      </w:r>
      <w:r w:rsidR="008B5F77">
        <w:rPr>
          <w:rFonts w:ascii="Calibri" w:hAnsi="Calibri"/>
          <w:color w:val="000000"/>
          <w:lang w:val="es-DO"/>
        </w:rPr>
        <w:t>2</w:t>
      </w:r>
      <w:r>
        <w:rPr>
          <w:rFonts w:ascii="Calibri" w:hAnsi="Calibri"/>
          <w:color w:val="000000"/>
          <w:lang w:val="es-DO"/>
        </w:rPr>
        <w:t>.1</w:t>
      </w:r>
      <w:r w:rsidR="008B5F77">
        <w:rPr>
          <w:rFonts w:ascii="Calibri" w:hAnsi="Calibri"/>
          <w:color w:val="000000"/>
          <w:lang w:val="es-DO"/>
        </w:rPr>
        <w:t xml:space="preserve">9 </w:t>
      </w:r>
      <w:r>
        <w:rPr>
          <w:rFonts w:ascii="Calibri" w:hAnsi="Calibri"/>
          <w:color w:val="000000"/>
          <w:lang w:val="es-DO"/>
        </w:rPr>
        <w:t>%).</w:t>
      </w:r>
    </w:p>
    <w:p w14:paraId="06219B33" w14:textId="77777777" w:rsidR="00C67C56" w:rsidRDefault="00C67C56" w:rsidP="00C67C56">
      <w:pPr>
        <w:jc w:val="both"/>
        <w:rPr>
          <w:rFonts w:ascii="Calibri" w:hAnsi="Calibri"/>
          <w:color w:val="000000"/>
          <w:lang w:val="es-DO"/>
        </w:rPr>
      </w:pPr>
    </w:p>
    <w:p w14:paraId="524B9AA4" w14:textId="15AC2019" w:rsidR="00C67C56" w:rsidRDefault="00C67C56" w:rsidP="00C67C56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>De forma similar, la asignación de fondos en Zambrana y Bonao fue superior al monto correspondiente a las ponderaciones de referencia. De manera particular, en 20</w:t>
      </w:r>
      <w:r w:rsidR="008B5F77">
        <w:rPr>
          <w:rFonts w:ascii="Calibri" w:hAnsi="Calibri"/>
          <w:color w:val="000000"/>
          <w:lang w:val="es-DO"/>
        </w:rPr>
        <w:t>21</w:t>
      </w:r>
      <w:r>
        <w:rPr>
          <w:rFonts w:ascii="Calibri" w:hAnsi="Calibri"/>
          <w:color w:val="000000"/>
          <w:lang w:val="es-DO"/>
        </w:rPr>
        <w:t xml:space="preserve"> y 202</w:t>
      </w:r>
      <w:r w:rsidR="008B5F77">
        <w:rPr>
          <w:rFonts w:ascii="Calibri" w:hAnsi="Calibri"/>
          <w:color w:val="000000"/>
          <w:lang w:val="es-DO"/>
        </w:rPr>
        <w:t>2</w:t>
      </w:r>
      <w:r>
        <w:rPr>
          <w:rFonts w:ascii="Calibri" w:hAnsi="Calibri"/>
          <w:color w:val="000000"/>
          <w:lang w:val="es-DO"/>
        </w:rPr>
        <w:t xml:space="preserve"> se calcularon desviaciones positivas para cada una de estas partidas, las cuales ascendieron a RD$ </w:t>
      </w:r>
      <w:r w:rsidR="00CE3E87">
        <w:rPr>
          <w:rFonts w:ascii="Calibri" w:hAnsi="Calibri"/>
          <w:color w:val="000000"/>
          <w:lang w:val="es-DO"/>
        </w:rPr>
        <w:t xml:space="preserve">583,333.25 </w:t>
      </w:r>
      <w:r>
        <w:rPr>
          <w:rFonts w:ascii="Calibri" w:hAnsi="Calibri"/>
          <w:color w:val="000000"/>
          <w:lang w:val="es-DO"/>
        </w:rPr>
        <w:t>(</w:t>
      </w:r>
      <w:r w:rsidR="00CE3E87">
        <w:rPr>
          <w:rFonts w:ascii="Calibri" w:hAnsi="Calibri"/>
          <w:color w:val="000000"/>
          <w:lang w:val="es-DO"/>
        </w:rPr>
        <w:t>1</w:t>
      </w:r>
      <w:r>
        <w:rPr>
          <w:rFonts w:ascii="Calibri" w:hAnsi="Calibri"/>
          <w:color w:val="000000"/>
          <w:lang w:val="es-DO"/>
        </w:rPr>
        <w:t>.</w:t>
      </w:r>
      <w:r w:rsidR="00CE3E87">
        <w:rPr>
          <w:rFonts w:ascii="Calibri" w:hAnsi="Calibri"/>
          <w:color w:val="000000"/>
          <w:lang w:val="es-DO"/>
        </w:rPr>
        <w:t>6</w:t>
      </w:r>
      <w:r>
        <w:rPr>
          <w:rFonts w:ascii="Calibri" w:hAnsi="Calibri"/>
          <w:color w:val="000000"/>
          <w:lang w:val="es-DO"/>
        </w:rPr>
        <w:t>8</w:t>
      </w:r>
      <w:r w:rsidR="00CE3E87">
        <w:rPr>
          <w:rFonts w:ascii="Calibri" w:hAnsi="Calibri"/>
          <w:color w:val="000000"/>
          <w:lang w:val="es-DO"/>
        </w:rPr>
        <w:t xml:space="preserve"> </w:t>
      </w:r>
      <w:r>
        <w:rPr>
          <w:rFonts w:ascii="Calibri" w:hAnsi="Calibri"/>
          <w:color w:val="000000"/>
          <w:lang w:val="es-DO"/>
        </w:rPr>
        <w:t>%) y RD$ 1</w:t>
      </w:r>
      <w:r w:rsidR="00153C00">
        <w:rPr>
          <w:rFonts w:ascii="Calibri" w:hAnsi="Calibri"/>
          <w:color w:val="000000"/>
          <w:lang w:val="es-DO"/>
        </w:rPr>
        <w:t>,129,530.58</w:t>
      </w:r>
      <w:r>
        <w:rPr>
          <w:rFonts w:ascii="Calibri" w:hAnsi="Calibri"/>
          <w:color w:val="000000"/>
          <w:lang w:val="es-DO"/>
        </w:rPr>
        <w:t xml:space="preserve"> (</w:t>
      </w:r>
      <w:r w:rsidR="00153C00">
        <w:rPr>
          <w:rFonts w:ascii="Calibri" w:hAnsi="Calibri"/>
          <w:color w:val="000000"/>
          <w:lang w:val="es-DO"/>
        </w:rPr>
        <w:t>2</w:t>
      </w:r>
      <w:r>
        <w:rPr>
          <w:rFonts w:ascii="Calibri" w:hAnsi="Calibri"/>
          <w:color w:val="000000"/>
          <w:lang w:val="es-DO"/>
        </w:rPr>
        <w:t>.1</w:t>
      </w:r>
      <w:r w:rsidR="00153C00">
        <w:rPr>
          <w:rFonts w:ascii="Calibri" w:hAnsi="Calibri"/>
          <w:color w:val="000000"/>
          <w:lang w:val="es-DO"/>
        </w:rPr>
        <w:t xml:space="preserve">6 </w:t>
      </w:r>
      <w:r>
        <w:rPr>
          <w:rFonts w:ascii="Calibri" w:hAnsi="Calibri"/>
          <w:color w:val="000000"/>
          <w:lang w:val="es-DO"/>
        </w:rPr>
        <w:t>%), respectivamente.</w:t>
      </w:r>
    </w:p>
    <w:p w14:paraId="03E2BF60" w14:textId="155ECC23" w:rsidR="00647FBD" w:rsidRDefault="00C67C56" w:rsidP="00C67C56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 xml:space="preserve">Cabe </w:t>
      </w:r>
      <w:r w:rsidR="008B5F77">
        <w:rPr>
          <w:rFonts w:ascii="Calibri" w:hAnsi="Calibri"/>
          <w:color w:val="000000"/>
          <w:lang w:val="es-DO"/>
        </w:rPr>
        <w:t>destacar,</w:t>
      </w:r>
      <w:r>
        <w:rPr>
          <w:rFonts w:ascii="Calibri" w:hAnsi="Calibri"/>
          <w:color w:val="000000"/>
          <w:lang w:val="es-DO"/>
        </w:rPr>
        <w:t xml:space="preserve"> además, que al verificar la asignación del 10% a las secciones de Tocoa, Zambrana y Chacuey Maldonado; según disposición de la Ley No. 91-05, la Matriz de Distribución de Recursos presentada por el Consejo Provincial de </w:t>
      </w:r>
      <w:proofErr w:type="spellStart"/>
      <w:r>
        <w:rPr>
          <w:rFonts w:ascii="Calibri" w:hAnsi="Calibri"/>
          <w:color w:val="000000"/>
          <w:lang w:val="es-DO"/>
        </w:rPr>
        <w:t>FOMISAR</w:t>
      </w:r>
      <w:proofErr w:type="spellEnd"/>
      <w:r>
        <w:rPr>
          <w:rFonts w:ascii="Calibri" w:hAnsi="Calibri"/>
          <w:color w:val="000000"/>
          <w:lang w:val="es-DO"/>
        </w:rPr>
        <w:t xml:space="preserve"> establece la </w:t>
      </w:r>
      <w:r w:rsidRPr="00C67C56">
        <w:rPr>
          <w:rFonts w:ascii="Calibri" w:hAnsi="Calibri"/>
          <w:color w:val="000000"/>
          <w:lang w:val="es-DO"/>
        </w:rPr>
        <w:t>asignación del total de la partida correspondiente para el hoy distrito municipal Zambrana, sin que se especifique un reparto para las secciones Tocoa y Chacuey Maldonado. No obstante, se precisa que dichas secciones forman parte del referido distrito municipal.</w:t>
      </w:r>
    </w:p>
    <w:p w14:paraId="0B9F88F3" w14:textId="77777777" w:rsidR="00C67C56" w:rsidRPr="00C67C56" w:rsidRDefault="00C67C56" w:rsidP="00C67C56">
      <w:pPr>
        <w:jc w:val="both"/>
        <w:rPr>
          <w:rFonts w:ascii="Calibri" w:hAnsi="Calibri"/>
          <w:color w:val="000000"/>
          <w:lang w:val="es-ES"/>
        </w:rPr>
      </w:pPr>
    </w:p>
    <w:p w14:paraId="2CD48292" w14:textId="2179295C" w:rsidR="00647FBD" w:rsidRPr="008E2D67" w:rsidRDefault="00647FBD" w:rsidP="00647FBD">
      <w:pPr>
        <w:keepNext/>
        <w:keepLines/>
        <w:spacing w:before="40" w:line="259" w:lineRule="auto"/>
        <w:outlineLvl w:val="2"/>
        <w:rPr>
          <w:rFonts w:ascii="Arial Narrow" w:eastAsia="Times New Roman" w:hAnsi="Arial Narrow"/>
          <w:b/>
          <w:color w:val="000000"/>
          <w:sz w:val="26"/>
          <w:lang w:val="es-DO"/>
        </w:rPr>
      </w:pPr>
      <w:bookmarkStart w:id="27" w:name="_Toc31065205"/>
      <w:bookmarkStart w:id="28" w:name="_Toc89157433"/>
      <w:r w:rsidRPr="008E2D67">
        <w:rPr>
          <w:rFonts w:ascii="Arial Narrow" w:eastAsia="Times New Roman" w:hAnsi="Arial Narrow"/>
          <w:b/>
          <w:color w:val="000000"/>
          <w:sz w:val="26"/>
          <w:lang w:val="es-DO"/>
        </w:rPr>
        <w:t xml:space="preserve">2.3.2 Distribución </w:t>
      </w:r>
      <w:r w:rsidR="00DD6467">
        <w:rPr>
          <w:rFonts w:ascii="Arial Narrow" w:eastAsia="Times New Roman" w:hAnsi="Arial Narrow"/>
          <w:b/>
          <w:color w:val="000000"/>
          <w:sz w:val="26"/>
          <w:lang w:val="es-DO"/>
        </w:rPr>
        <w:t xml:space="preserve">Demás </w:t>
      </w:r>
      <w:r w:rsidRPr="008E2D67">
        <w:rPr>
          <w:rFonts w:ascii="Arial Narrow" w:eastAsia="Times New Roman" w:hAnsi="Arial Narrow"/>
          <w:b/>
          <w:color w:val="000000"/>
          <w:sz w:val="26"/>
          <w:lang w:val="es-DO"/>
        </w:rPr>
        <w:t>Municip</w:t>
      </w:r>
      <w:r w:rsidR="00DD6467">
        <w:rPr>
          <w:rFonts w:ascii="Arial Narrow" w:eastAsia="Times New Roman" w:hAnsi="Arial Narrow"/>
          <w:b/>
          <w:color w:val="000000"/>
          <w:sz w:val="26"/>
          <w:lang w:val="es-DO"/>
        </w:rPr>
        <w:t>ios</w:t>
      </w:r>
      <w:r w:rsidRPr="008E2D67">
        <w:rPr>
          <w:rFonts w:ascii="Arial Narrow" w:eastAsia="Times New Roman" w:hAnsi="Arial Narrow"/>
          <w:b/>
          <w:color w:val="000000"/>
          <w:sz w:val="26"/>
          <w:lang w:val="es-DO"/>
        </w:rPr>
        <w:t xml:space="preserve"> (</w:t>
      </w:r>
      <w:r w:rsidR="00235819">
        <w:rPr>
          <w:rFonts w:ascii="Arial Narrow" w:eastAsia="Times New Roman" w:hAnsi="Arial Narrow"/>
          <w:b/>
          <w:color w:val="000000"/>
          <w:sz w:val="26"/>
          <w:lang w:val="es-DO"/>
        </w:rPr>
        <w:t>Segundo</w:t>
      </w:r>
      <w:r w:rsidRPr="008E2D67">
        <w:rPr>
          <w:rFonts w:ascii="Arial Narrow" w:eastAsia="Times New Roman" w:hAnsi="Arial Narrow"/>
          <w:b/>
          <w:color w:val="000000"/>
          <w:sz w:val="26"/>
          <w:lang w:val="es-DO"/>
        </w:rPr>
        <w:t xml:space="preserve"> Nivel de Verificación)</w:t>
      </w:r>
      <w:bookmarkEnd w:id="27"/>
      <w:bookmarkEnd w:id="28"/>
    </w:p>
    <w:p w14:paraId="6FA1D375" w14:textId="77777777" w:rsidR="00647FBD" w:rsidRPr="008E2D67" w:rsidRDefault="00647FBD" w:rsidP="00647FBD">
      <w:pPr>
        <w:jc w:val="both"/>
        <w:rPr>
          <w:rFonts w:ascii="Calibri" w:hAnsi="Calibri"/>
          <w:color w:val="002060"/>
          <w:lang w:val="es-DO"/>
        </w:rPr>
      </w:pPr>
    </w:p>
    <w:p w14:paraId="70D5967E" w14:textId="77777777" w:rsidR="00C67C56" w:rsidRDefault="00C67C56" w:rsidP="00C67C56">
      <w:pPr>
        <w:jc w:val="both"/>
        <w:rPr>
          <w:rFonts w:asciiTheme="minorHAnsi" w:hAnsiTheme="minorHAnsi"/>
          <w:lang w:val="es-DO"/>
        </w:rPr>
      </w:pPr>
      <w:r>
        <w:rPr>
          <w:rFonts w:asciiTheme="minorHAnsi" w:hAnsiTheme="minorHAnsi"/>
          <w:lang w:val="es-DO"/>
        </w:rPr>
        <w:t>El criterio establecido para realizar la distribución municipal, conforme lo dispuesto por la Ley No. 91-05 y su Reglamento de Aplicación No. 266-09, es la proporción de habitantes con base en los datos del último Censo Nacional de Población y Vivienda.</w:t>
      </w:r>
    </w:p>
    <w:p w14:paraId="4CFB551C" w14:textId="77777777" w:rsidR="00C67C56" w:rsidRDefault="00C67C56" w:rsidP="00C67C56">
      <w:pPr>
        <w:jc w:val="both"/>
        <w:rPr>
          <w:rFonts w:asciiTheme="minorHAnsi" w:hAnsiTheme="minorHAnsi"/>
          <w:lang w:val="es-DO"/>
        </w:rPr>
      </w:pPr>
    </w:p>
    <w:p w14:paraId="0D8183B7" w14:textId="74BA85CC" w:rsidR="00EE4B23" w:rsidRPr="004755C2" w:rsidRDefault="00C67C56" w:rsidP="004755C2">
      <w:pPr>
        <w:jc w:val="both"/>
        <w:rPr>
          <w:rFonts w:asciiTheme="minorHAnsi" w:hAnsiTheme="minorHAnsi"/>
          <w:lang w:val="es-DO"/>
        </w:rPr>
      </w:pPr>
      <w:r>
        <w:rPr>
          <w:rFonts w:asciiTheme="minorHAnsi" w:hAnsiTheme="minorHAnsi"/>
          <w:lang w:val="es-DO"/>
        </w:rPr>
        <w:t xml:space="preserve">En ese sentido, a </w:t>
      </w:r>
      <w:r w:rsidR="009B5A99">
        <w:rPr>
          <w:rFonts w:asciiTheme="minorHAnsi" w:hAnsiTheme="minorHAnsi"/>
          <w:lang w:val="es-DO"/>
        </w:rPr>
        <w:t>continuación,</w:t>
      </w:r>
      <w:r>
        <w:rPr>
          <w:rFonts w:asciiTheme="minorHAnsi" w:hAnsiTheme="minorHAnsi"/>
          <w:lang w:val="es-DO"/>
        </w:rPr>
        <w:t xml:space="preserve"> se presenta la asignación ejecutada por el Consejo Provincial de </w:t>
      </w:r>
      <w:proofErr w:type="spellStart"/>
      <w:r>
        <w:rPr>
          <w:rFonts w:asciiTheme="minorHAnsi" w:hAnsiTheme="minorHAnsi"/>
          <w:lang w:val="es-DO"/>
        </w:rPr>
        <w:t>FOMISAR</w:t>
      </w:r>
      <w:proofErr w:type="spellEnd"/>
      <w:r>
        <w:rPr>
          <w:rFonts w:asciiTheme="minorHAnsi" w:hAnsiTheme="minorHAnsi"/>
          <w:lang w:val="es-DO"/>
        </w:rPr>
        <w:t xml:space="preserve"> en los demás municipios de la provincia Sánchez Ramírez; juntamente con las ponderaciones de referencia calculadas por la </w:t>
      </w:r>
      <w:proofErr w:type="spellStart"/>
      <w:r>
        <w:rPr>
          <w:rFonts w:asciiTheme="minorHAnsi" w:hAnsiTheme="minorHAnsi"/>
          <w:lang w:val="es-DO"/>
        </w:rPr>
        <w:t>DAEF</w:t>
      </w:r>
      <w:r w:rsidR="00924A82">
        <w:rPr>
          <w:rFonts w:asciiTheme="minorHAnsi" w:hAnsiTheme="minorHAnsi"/>
          <w:lang w:val="es-DO"/>
        </w:rPr>
        <w:t>S</w:t>
      </w:r>
      <w:proofErr w:type="spellEnd"/>
      <w:r>
        <w:rPr>
          <w:rFonts w:asciiTheme="minorHAnsi" w:hAnsiTheme="minorHAnsi"/>
          <w:lang w:val="es-DO"/>
        </w:rPr>
        <w:t xml:space="preserve"> a partir de los datos de población registrados en el Censo Nacional de Población y Vivienda de 2010.</w:t>
      </w:r>
    </w:p>
    <w:p w14:paraId="4058FD55" w14:textId="7A4A3FE1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>Tabla No. 2.3.2.1</w:t>
      </w:r>
    </w:p>
    <w:p w14:paraId="30FB6F29" w14:textId="0AFE6A0C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 xml:space="preserve">Diferencia entre la Distribución Territorial aplicando las Ponderaciones de Referencia y lo Ejecutado por el Consejo Provincial de </w:t>
      </w:r>
      <w:proofErr w:type="spellStart"/>
      <w:r w:rsidRPr="008E2D67">
        <w:rPr>
          <w:rFonts w:ascii="Calibri" w:hAnsi="Calibri"/>
          <w:b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b/>
          <w:color w:val="000000"/>
          <w:lang w:val="es-DO"/>
        </w:rPr>
        <w:t xml:space="preserve"> </w:t>
      </w:r>
    </w:p>
    <w:p w14:paraId="756F22D0" w14:textId="63F661A8" w:rsidR="0088484E" w:rsidRDefault="00647FBD" w:rsidP="002057F9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>20</w:t>
      </w:r>
      <w:r w:rsidR="009B5A99">
        <w:rPr>
          <w:rFonts w:ascii="Calibri" w:hAnsi="Calibri"/>
          <w:b/>
          <w:color w:val="000000"/>
          <w:lang w:val="es-DO"/>
        </w:rPr>
        <w:t>21</w:t>
      </w:r>
    </w:p>
    <w:p w14:paraId="0495174F" w14:textId="1EFF3279" w:rsidR="002057F9" w:rsidRDefault="003A3831" w:rsidP="00C82561">
      <w:pPr>
        <w:spacing w:after="160" w:line="259" w:lineRule="auto"/>
        <w:ind w:left="-426"/>
        <w:rPr>
          <w:rFonts w:ascii="Calibri" w:hAnsi="Calibri"/>
          <w:b/>
          <w:color w:val="000000"/>
          <w:lang w:val="es-DO"/>
        </w:rPr>
      </w:pPr>
      <w:r w:rsidRPr="003A3831">
        <w:rPr>
          <w:noProof/>
        </w:rPr>
        <w:drawing>
          <wp:inline distT="0" distB="0" distL="0" distR="0" wp14:anchorId="687CE220" wp14:editId="0EC9710B">
            <wp:extent cx="6515913" cy="2028825"/>
            <wp:effectExtent l="0" t="0" r="0" b="0"/>
            <wp:docPr id="69205825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020" cy="203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561" w:rsidRPr="00C82561">
        <w:rPr>
          <w:rFonts w:ascii="Calibri" w:eastAsia="Times New Roman" w:hAnsi="Calibri" w:cs="Calibri"/>
          <w:b/>
          <w:bCs/>
          <w:color w:val="000000"/>
          <w:sz w:val="18"/>
          <w:szCs w:val="18"/>
          <w:lang w:val="es-DO" w:eastAsia="es-DO"/>
        </w:rPr>
        <w:t xml:space="preserve">Fuente: </w:t>
      </w:r>
      <w:r w:rsidR="00C82561" w:rsidRPr="00C82561">
        <w:rPr>
          <w:rFonts w:ascii="Calibri" w:eastAsia="Times New Roman" w:hAnsi="Calibri" w:cs="Calibri"/>
          <w:color w:val="000000"/>
          <w:sz w:val="18"/>
          <w:szCs w:val="18"/>
          <w:lang w:val="es-DO" w:eastAsia="es-DO"/>
        </w:rPr>
        <w:t xml:space="preserve">Matriz de Distribución de Recursos de </w:t>
      </w:r>
      <w:proofErr w:type="spellStart"/>
      <w:r w:rsidR="00C82561" w:rsidRPr="00C82561">
        <w:rPr>
          <w:rFonts w:ascii="Calibri" w:eastAsia="Times New Roman" w:hAnsi="Calibri" w:cs="Calibri"/>
          <w:color w:val="000000"/>
          <w:sz w:val="18"/>
          <w:szCs w:val="18"/>
          <w:lang w:val="es-DO" w:eastAsia="es-DO"/>
        </w:rPr>
        <w:t>FOMISAR</w:t>
      </w:r>
      <w:proofErr w:type="spellEnd"/>
      <w:r w:rsidR="00C82561" w:rsidRPr="00C82561">
        <w:rPr>
          <w:rFonts w:ascii="Calibri" w:eastAsia="Times New Roman" w:hAnsi="Calibri" w:cs="Calibri"/>
          <w:color w:val="000000"/>
          <w:sz w:val="18"/>
          <w:szCs w:val="18"/>
          <w:lang w:val="es-DO" w:eastAsia="es-DO"/>
        </w:rPr>
        <w:t xml:space="preserve"> (elaborado por este consejo de administración de fondos) y Tu Municipio en Cifras de la Oficina Nacional de Estadística.</w:t>
      </w:r>
      <w:r w:rsidR="002057F9">
        <w:rPr>
          <w:rFonts w:ascii="Calibri" w:hAnsi="Calibri"/>
          <w:b/>
          <w:color w:val="000000"/>
          <w:lang w:val="es-DO"/>
        </w:rPr>
        <w:br w:type="page"/>
      </w:r>
    </w:p>
    <w:p w14:paraId="0734CE42" w14:textId="77777777" w:rsidR="00AF4EDD" w:rsidRDefault="00AF4EDD" w:rsidP="00647FBD">
      <w:pPr>
        <w:jc w:val="center"/>
        <w:rPr>
          <w:rFonts w:ascii="Calibri" w:hAnsi="Calibri"/>
          <w:b/>
          <w:color w:val="000000"/>
          <w:lang w:val="es-DO"/>
        </w:rPr>
      </w:pPr>
    </w:p>
    <w:p w14:paraId="77C1A315" w14:textId="445EE2EF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>Tabla No. 2.3.2.2</w:t>
      </w:r>
    </w:p>
    <w:p w14:paraId="5A9A50D7" w14:textId="77777777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 xml:space="preserve">Diferencia entre la Distribución Territorial aplicando las Ponderaciones de Referencia y lo Ejecutado por el Consejo Provincial de </w:t>
      </w:r>
      <w:proofErr w:type="spellStart"/>
      <w:r w:rsidRPr="008E2D67">
        <w:rPr>
          <w:rFonts w:ascii="Calibri" w:hAnsi="Calibri"/>
          <w:b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b/>
          <w:color w:val="000000"/>
          <w:lang w:val="es-DO"/>
        </w:rPr>
        <w:t xml:space="preserve"> </w:t>
      </w:r>
    </w:p>
    <w:p w14:paraId="6D1C3DD1" w14:textId="1AF3422A" w:rsidR="00647FBD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>20</w:t>
      </w:r>
      <w:r w:rsidR="00252C1A" w:rsidRPr="008E2D67">
        <w:rPr>
          <w:rFonts w:ascii="Calibri" w:hAnsi="Calibri"/>
          <w:b/>
          <w:color w:val="000000"/>
          <w:lang w:val="es-DO"/>
        </w:rPr>
        <w:t>2</w:t>
      </w:r>
      <w:r w:rsidR="009B5A99">
        <w:rPr>
          <w:rFonts w:ascii="Calibri" w:hAnsi="Calibri"/>
          <w:b/>
          <w:color w:val="000000"/>
          <w:lang w:val="es-DO"/>
        </w:rPr>
        <w:t>2</w:t>
      </w:r>
    </w:p>
    <w:p w14:paraId="3CF7027E" w14:textId="10F95072" w:rsidR="006626CC" w:rsidRDefault="00731C68" w:rsidP="000B7ECE">
      <w:pPr>
        <w:ind w:left="-284"/>
        <w:jc w:val="center"/>
        <w:rPr>
          <w:rFonts w:ascii="Calibri" w:hAnsi="Calibri"/>
          <w:b/>
          <w:color w:val="000000"/>
          <w:lang w:val="es-D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7F5433" wp14:editId="71B9835B">
                <wp:simplePos x="0" y="0"/>
                <wp:positionH relativeFrom="column">
                  <wp:posOffset>117665</wp:posOffset>
                </wp:positionH>
                <wp:positionV relativeFrom="paragraph">
                  <wp:posOffset>2132330</wp:posOffset>
                </wp:positionV>
                <wp:extent cx="5165767" cy="13821"/>
                <wp:effectExtent l="0" t="0" r="34925" b="24765"/>
                <wp:wrapNone/>
                <wp:docPr id="1464602476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5767" cy="138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DA1F79" id="Conector recto 1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167.9pt" to="416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hAnsi="Calibri"/>
          <w:b/>
          <w:noProof/>
          <w:color w:val="000000"/>
          <w:lang w:val="es-D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A79FBB" wp14:editId="64BD7A7A">
                <wp:simplePos x="0" y="0"/>
                <wp:positionH relativeFrom="column">
                  <wp:posOffset>5272595</wp:posOffset>
                </wp:positionH>
                <wp:positionV relativeFrom="paragraph">
                  <wp:posOffset>6350</wp:posOffset>
                </wp:positionV>
                <wp:extent cx="11430" cy="2139504"/>
                <wp:effectExtent l="0" t="0" r="26670" b="32385"/>
                <wp:wrapNone/>
                <wp:docPr id="1802564006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1395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8CD0C3" id="Conector recto 5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5.15pt,.5pt" to="416.0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3A3831" w:rsidRPr="003A3831">
        <w:rPr>
          <w:noProof/>
        </w:rPr>
        <w:drawing>
          <wp:inline distT="0" distB="0" distL="0" distR="0" wp14:anchorId="6E2B478C" wp14:editId="06874918">
            <wp:extent cx="5165766" cy="2151837"/>
            <wp:effectExtent l="0" t="0" r="0" b="1270"/>
            <wp:docPr id="214721213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454" cy="21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BDE91" w14:textId="77777777" w:rsidR="00C13431" w:rsidRDefault="00C13431" w:rsidP="00C13431">
      <w:pPr>
        <w:ind w:left="142" w:hanging="142"/>
        <w:rPr>
          <w:rFonts w:ascii="Calibri" w:eastAsia="Times New Roman" w:hAnsi="Calibri" w:cs="Calibri"/>
          <w:color w:val="000000"/>
          <w:sz w:val="18"/>
          <w:szCs w:val="18"/>
          <w:lang w:val="es-DO" w:eastAsia="es-DO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val="es-DO" w:eastAsia="es-DO"/>
        </w:rPr>
        <w:t xml:space="preserve">     </w:t>
      </w:r>
      <w:r w:rsidRPr="00C13431">
        <w:rPr>
          <w:rFonts w:ascii="Calibri" w:eastAsia="Times New Roman" w:hAnsi="Calibri" w:cs="Calibri"/>
          <w:b/>
          <w:bCs/>
          <w:color w:val="000000"/>
          <w:sz w:val="18"/>
          <w:szCs w:val="18"/>
          <w:lang w:val="es-DO" w:eastAsia="es-DO"/>
        </w:rPr>
        <w:t xml:space="preserve">Fuente: </w:t>
      </w:r>
      <w:r w:rsidRPr="00C13431">
        <w:rPr>
          <w:rFonts w:ascii="Calibri" w:eastAsia="Times New Roman" w:hAnsi="Calibri" w:cs="Calibri"/>
          <w:color w:val="000000"/>
          <w:sz w:val="18"/>
          <w:szCs w:val="18"/>
          <w:lang w:val="es-DO" w:eastAsia="es-DO"/>
        </w:rPr>
        <w:t xml:space="preserve">Matriz de Distribución de Recursos de </w:t>
      </w:r>
      <w:proofErr w:type="spellStart"/>
      <w:r w:rsidRPr="00C13431">
        <w:rPr>
          <w:rFonts w:ascii="Calibri" w:eastAsia="Times New Roman" w:hAnsi="Calibri" w:cs="Calibri"/>
          <w:color w:val="000000"/>
          <w:sz w:val="18"/>
          <w:szCs w:val="18"/>
          <w:lang w:val="es-DO" w:eastAsia="es-DO"/>
        </w:rPr>
        <w:t>FOMISAR</w:t>
      </w:r>
      <w:proofErr w:type="spellEnd"/>
      <w:r w:rsidRPr="00C13431">
        <w:rPr>
          <w:rFonts w:ascii="Calibri" w:eastAsia="Times New Roman" w:hAnsi="Calibri" w:cs="Calibri"/>
          <w:color w:val="000000"/>
          <w:sz w:val="18"/>
          <w:szCs w:val="18"/>
          <w:lang w:val="es-DO" w:eastAsia="es-DO"/>
        </w:rPr>
        <w:t xml:space="preserve"> (elaborado por este consejo de administración de fondos)</w:t>
      </w:r>
    </w:p>
    <w:p w14:paraId="642D4D57" w14:textId="7C50DCFB" w:rsidR="006626CC" w:rsidRPr="00C13431" w:rsidRDefault="00C13431" w:rsidP="00C13431">
      <w:pPr>
        <w:ind w:left="142" w:hanging="142"/>
        <w:rPr>
          <w:rFonts w:ascii="Calibri" w:eastAsia="Times New Roman" w:hAnsi="Calibri" w:cs="Calibri"/>
          <w:b/>
          <w:bCs/>
          <w:color w:val="000000"/>
          <w:sz w:val="18"/>
          <w:szCs w:val="18"/>
          <w:lang w:val="es-DO" w:eastAsia="es-DO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val="es-DO" w:eastAsia="es-DO"/>
        </w:rPr>
        <w:t xml:space="preserve">    </w:t>
      </w:r>
      <w:r w:rsidRPr="00C13431">
        <w:rPr>
          <w:rFonts w:ascii="Calibri" w:eastAsia="Times New Roman" w:hAnsi="Calibri" w:cs="Calibri"/>
          <w:color w:val="000000"/>
          <w:sz w:val="18"/>
          <w:szCs w:val="18"/>
          <w:lang w:val="es-DO" w:eastAsia="es-DO"/>
        </w:rPr>
        <w:t xml:space="preserve"> y </w:t>
      </w:r>
      <w:r w:rsidR="001C0107">
        <w:rPr>
          <w:rFonts w:ascii="Calibri" w:eastAsia="Times New Roman" w:hAnsi="Calibri" w:cs="Calibri"/>
          <w:color w:val="000000"/>
          <w:sz w:val="18"/>
          <w:szCs w:val="18"/>
          <w:lang w:val="es-DO" w:eastAsia="es-DO"/>
        </w:rPr>
        <w:t xml:space="preserve">cada </w:t>
      </w:r>
      <w:r w:rsidRPr="00C13431">
        <w:rPr>
          <w:rFonts w:ascii="Calibri" w:eastAsia="Times New Roman" w:hAnsi="Calibri" w:cs="Calibri"/>
          <w:color w:val="000000"/>
          <w:sz w:val="18"/>
          <w:szCs w:val="18"/>
          <w:lang w:val="es-DO" w:eastAsia="es-DO"/>
        </w:rPr>
        <w:t>Municipio en Cifras de la Oficina Nacional de Estadística.</w:t>
      </w:r>
    </w:p>
    <w:p w14:paraId="4BF9B7BF" w14:textId="77777777" w:rsidR="00C13431" w:rsidRPr="00C13431" w:rsidRDefault="00C13431" w:rsidP="00C13431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  <w:lang w:val="es-DO" w:eastAsia="es-DO"/>
        </w:rPr>
      </w:pPr>
    </w:p>
    <w:p w14:paraId="55E5E79B" w14:textId="77777777" w:rsidR="00C67C56" w:rsidRDefault="00C67C56" w:rsidP="000B7ECE">
      <w:pPr>
        <w:ind w:left="142"/>
        <w:jc w:val="both"/>
        <w:rPr>
          <w:rFonts w:ascii="Calibri" w:hAnsi="Calibri"/>
          <w:color w:val="000000"/>
          <w:lang w:val="es-DO"/>
        </w:rPr>
      </w:pPr>
      <w:bookmarkStart w:id="29" w:name="_Toc31065206"/>
      <w:r>
        <w:rPr>
          <w:rFonts w:ascii="Calibri" w:hAnsi="Calibri"/>
          <w:color w:val="000000"/>
          <w:lang w:val="es-DO"/>
        </w:rPr>
        <w:t>Es importante destacar, que en la determinación de los fondos que le corresponde recibir a cada uno de los demás municipios intervienen dos factores, a saber:</w:t>
      </w:r>
    </w:p>
    <w:p w14:paraId="6FF2F9E6" w14:textId="77777777" w:rsidR="00C67C56" w:rsidRDefault="00C67C56" w:rsidP="00C67C56">
      <w:pPr>
        <w:jc w:val="both"/>
        <w:rPr>
          <w:rFonts w:ascii="Calibri" w:hAnsi="Calibri"/>
          <w:color w:val="000000"/>
          <w:lang w:val="es-DO"/>
        </w:rPr>
      </w:pPr>
    </w:p>
    <w:p w14:paraId="5769EF87" w14:textId="33F674B0" w:rsidR="00C67C56" w:rsidRDefault="00C67C56" w:rsidP="00C67C56">
      <w:pPr>
        <w:pStyle w:val="Prrafodelista"/>
        <w:numPr>
          <w:ilvl w:val="0"/>
          <w:numId w:val="17"/>
        </w:numPr>
        <w:spacing w:line="256" w:lineRule="auto"/>
        <w:jc w:val="both"/>
        <w:rPr>
          <w:rFonts w:ascii="Calibri" w:hAnsi="Calibri"/>
          <w:color w:val="000000"/>
          <w:sz w:val="24"/>
          <w:szCs w:val="24"/>
          <w:lang w:val="es-DO"/>
        </w:rPr>
      </w:pPr>
      <w:r>
        <w:rPr>
          <w:rFonts w:ascii="Calibri" w:hAnsi="Calibri"/>
          <w:color w:val="000000"/>
          <w:sz w:val="24"/>
          <w:szCs w:val="24"/>
          <w:lang w:val="es-DO"/>
        </w:rPr>
        <w:t>La proporción del número de habitantes</w:t>
      </w:r>
      <w:r w:rsidR="005F0E04">
        <w:rPr>
          <w:rFonts w:ascii="Calibri" w:hAnsi="Calibri"/>
          <w:color w:val="000000"/>
          <w:sz w:val="24"/>
          <w:szCs w:val="24"/>
          <w:lang w:val="es-DO"/>
        </w:rPr>
        <w:t>,</w:t>
      </w:r>
      <w:r>
        <w:rPr>
          <w:rFonts w:ascii="Calibri" w:hAnsi="Calibri"/>
          <w:color w:val="000000"/>
          <w:sz w:val="24"/>
          <w:szCs w:val="24"/>
          <w:lang w:val="es-DO"/>
        </w:rPr>
        <w:t xml:space="preserve"> </w:t>
      </w:r>
    </w:p>
    <w:p w14:paraId="1616FB5E" w14:textId="77777777" w:rsidR="00C67C56" w:rsidRDefault="00C67C56" w:rsidP="00C67C56">
      <w:pPr>
        <w:pStyle w:val="Prrafodelista"/>
        <w:numPr>
          <w:ilvl w:val="0"/>
          <w:numId w:val="17"/>
        </w:numPr>
        <w:spacing w:line="256" w:lineRule="auto"/>
        <w:jc w:val="both"/>
        <w:rPr>
          <w:rFonts w:ascii="Calibri" w:hAnsi="Calibri"/>
          <w:color w:val="000000"/>
          <w:sz w:val="24"/>
          <w:szCs w:val="24"/>
          <w:lang w:val="es-DO"/>
        </w:rPr>
      </w:pPr>
      <w:r>
        <w:rPr>
          <w:rFonts w:ascii="Calibri" w:hAnsi="Calibri"/>
          <w:color w:val="000000"/>
          <w:sz w:val="24"/>
          <w:szCs w:val="24"/>
          <w:lang w:val="es-DO"/>
        </w:rPr>
        <w:t>La ponderación de referencia consolidada de la partida de los demás municipios</w:t>
      </w:r>
      <w:r>
        <w:rPr>
          <w:rStyle w:val="Refdenotaalpie"/>
          <w:rFonts w:ascii="Calibri" w:hAnsi="Calibri"/>
          <w:color w:val="000000"/>
          <w:lang w:val="es-DO"/>
        </w:rPr>
        <w:footnoteReference w:id="1"/>
      </w:r>
      <w:r>
        <w:rPr>
          <w:rFonts w:ascii="Calibri" w:hAnsi="Calibri"/>
          <w:color w:val="000000"/>
          <w:sz w:val="24"/>
          <w:szCs w:val="24"/>
          <w:lang w:val="es-DO"/>
        </w:rPr>
        <w:t>.</w:t>
      </w:r>
    </w:p>
    <w:p w14:paraId="0AB5F927" w14:textId="65511B55" w:rsidR="00C67C56" w:rsidRDefault="00C67C56" w:rsidP="00C67C56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 xml:space="preserve">En cuanto al primer factor, se </w:t>
      </w:r>
      <w:r w:rsidR="002252B8">
        <w:rPr>
          <w:rFonts w:ascii="Calibri" w:hAnsi="Calibri"/>
          <w:color w:val="000000"/>
          <w:lang w:val="es-DO"/>
        </w:rPr>
        <w:t>observan diferencias</w:t>
      </w:r>
      <w:r>
        <w:rPr>
          <w:rFonts w:ascii="Calibri" w:hAnsi="Calibri"/>
          <w:color w:val="000000"/>
          <w:lang w:val="es-DO"/>
        </w:rPr>
        <w:t xml:space="preserve"> entre lo calculado a partir de los datos registrados por el Censo de 2010 y los porcentajes utilizados por el Consejo Provincial para realizar la distribución. Se trata de diferencias </w:t>
      </w:r>
      <w:r w:rsidR="002252B8">
        <w:rPr>
          <w:rFonts w:ascii="Calibri" w:hAnsi="Calibri"/>
          <w:color w:val="000000"/>
          <w:lang w:val="es-DO"/>
        </w:rPr>
        <w:t>inferior</w:t>
      </w:r>
      <w:r>
        <w:rPr>
          <w:rFonts w:ascii="Calibri" w:hAnsi="Calibri"/>
          <w:color w:val="000000"/>
          <w:lang w:val="es-DO"/>
        </w:rPr>
        <w:t xml:space="preserve"> a</w:t>
      </w:r>
      <w:r w:rsidR="002252B8">
        <w:rPr>
          <w:rFonts w:ascii="Calibri" w:hAnsi="Calibri"/>
          <w:color w:val="000000"/>
          <w:lang w:val="es-DO"/>
        </w:rPr>
        <w:t xml:space="preserve"> 3 puntos</w:t>
      </w:r>
      <w:r>
        <w:rPr>
          <w:rFonts w:ascii="Calibri" w:hAnsi="Calibri"/>
          <w:color w:val="000000"/>
          <w:lang w:val="es-DO"/>
        </w:rPr>
        <w:t xml:space="preserve"> porcentual.</w:t>
      </w:r>
    </w:p>
    <w:p w14:paraId="022402E5" w14:textId="77777777" w:rsidR="00C67C56" w:rsidRDefault="00C67C56" w:rsidP="00C67C56">
      <w:pPr>
        <w:jc w:val="both"/>
        <w:rPr>
          <w:rFonts w:ascii="Calibri" w:hAnsi="Calibri"/>
          <w:color w:val="000000"/>
          <w:lang w:val="es-DO"/>
        </w:rPr>
      </w:pPr>
    </w:p>
    <w:p w14:paraId="3A8FC7BC" w14:textId="2552548F" w:rsidR="00C67C56" w:rsidRDefault="00C67C56" w:rsidP="00C67C56">
      <w:pPr>
        <w:jc w:val="both"/>
        <w:rPr>
          <w:rFonts w:ascii="Calibri" w:hAnsi="Calibri"/>
          <w:color w:val="000000" w:themeColor="text1"/>
          <w:lang w:val="es-DO"/>
        </w:rPr>
      </w:pPr>
      <w:r>
        <w:rPr>
          <w:rFonts w:ascii="Calibri" w:hAnsi="Calibri"/>
          <w:color w:val="000000" w:themeColor="text1"/>
          <w:lang w:val="es-DO"/>
        </w:rPr>
        <w:t xml:space="preserve">Con relación al segundo factor, en vista de que en el primer nivel de verificación existen diferencias entre las ponderaciones de referencia calculadas por la </w:t>
      </w:r>
      <w:proofErr w:type="spellStart"/>
      <w:r>
        <w:rPr>
          <w:rFonts w:ascii="Calibri" w:hAnsi="Calibri"/>
          <w:color w:val="000000" w:themeColor="text1"/>
          <w:lang w:val="es-DO"/>
        </w:rPr>
        <w:t>DAEF</w:t>
      </w:r>
      <w:r w:rsidR="00924A82">
        <w:rPr>
          <w:rFonts w:ascii="Calibri" w:hAnsi="Calibri"/>
          <w:color w:val="000000" w:themeColor="text1"/>
          <w:lang w:val="es-DO"/>
        </w:rPr>
        <w:t>S</w:t>
      </w:r>
      <w:proofErr w:type="spellEnd"/>
      <w:r>
        <w:rPr>
          <w:rFonts w:ascii="Calibri" w:hAnsi="Calibri"/>
          <w:color w:val="000000" w:themeColor="text1"/>
          <w:lang w:val="es-DO"/>
        </w:rPr>
        <w:t xml:space="preserve"> y las aplicadas por el Consejo Provincial, se produce un efecto arrastre en el cálculo de la asignación de fondos correspondiente a los municipios de La Mata, Fantino, y Cevicos.</w:t>
      </w:r>
    </w:p>
    <w:p w14:paraId="38EE4826" w14:textId="77777777" w:rsidR="00C67C56" w:rsidRDefault="00C67C56" w:rsidP="00C67C56">
      <w:pPr>
        <w:jc w:val="both"/>
        <w:rPr>
          <w:rFonts w:ascii="Calibri" w:hAnsi="Calibri"/>
          <w:color w:val="000000"/>
          <w:lang w:val="es-DO"/>
        </w:rPr>
      </w:pPr>
    </w:p>
    <w:p w14:paraId="2852A3E9" w14:textId="79CABDE8" w:rsidR="00C67C56" w:rsidRDefault="00C67C56" w:rsidP="00C67C56">
      <w:pPr>
        <w:jc w:val="both"/>
        <w:rPr>
          <w:rFonts w:ascii="Calibri" w:hAnsi="Calibri"/>
          <w:color w:val="000000"/>
          <w:lang w:val="es-DO"/>
        </w:rPr>
      </w:pPr>
      <w:r>
        <w:rPr>
          <w:rFonts w:ascii="Calibri" w:hAnsi="Calibri"/>
          <w:color w:val="000000"/>
          <w:lang w:val="es-DO"/>
        </w:rPr>
        <w:t xml:space="preserve">De manera conjunta estos dos factores explican las diferencias registradas entre los valores de la “Distribución de fondos utilizando ponderaciones de referencia RD$” y la “Distribución de fondos ejecutada por Consejo Provincial </w:t>
      </w:r>
      <w:proofErr w:type="spellStart"/>
      <w:r>
        <w:rPr>
          <w:rFonts w:ascii="Calibri" w:hAnsi="Calibri"/>
          <w:color w:val="000000"/>
          <w:lang w:val="es-DO"/>
        </w:rPr>
        <w:t>FOMISAR</w:t>
      </w:r>
      <w:proofErr w:type="spellEnd"/>
      <w:r>
        <w:rPr>
          <w:rFonts w:ascii="Calibri" w:hAnsi="Calibri"/>
          <w:color w:val="000000"/>
          <w:lang w:val="es-DO"/>
        </w:rPr>
        <w:t xml:space="preserve"> RD$” para los años 20</w:t>
      </w:r>
      <w:r w:rsidR="000B7ECE">
        <w:rPr>
          <w:rFonts w:ascii="Calibri" w:hAnsi="Calibri"/>
          <w:color w:val="000000"/>
          <w:lang w:val="es-DO"/>
        </w:rPr>
        <w:t>21</w:t>
      </w:r>
      <w:r>
        <w:rPr>
          <w:rFonts w:ascii="Calibri" w:hAnsi="Calibri"/>
          <w:color w:val="000000"/>
          <w:lang w:val="es-DO"/>
        </w:rPr>
        <w:t xml:space="preserve"> y 202</w:t>
      </w:r>
      <w:r w:rsidR="000B7ECE">
        <w:rPr>
          <w:rFonts w:ascii="Calibri" w:hAnsi="Calibri"/>
          <w:color w:val="000000"/>
          <w:lang w:val="es-DO"/>
        </w:rPr>
        <w:t>2</w:t>
      </w:r>
      <w:r>
        <w:rPr>
          <w:rFonts w:ascii="Calibri" w:hAnsi="Calibri"/>
          <w:color w:val="000000"/>
          <w:lang w:val="es-DO"/>
        </w:rPr>
        <w:t>. Dichas diferencias se distribuyen en un rango de -</w:t>
      </w:r>
      <w:r w:rsidR="002252B8">
        <w:rPr>
          <w:rFonts w:ascii="Calibri" w:hAnsi="Calibri"/>
          <w:color w:val="000000"/>
          <w:lang w:val="es-DO"/>
        </w:rPr>
        <w:t>0</w:t>
      </w:r>
      <w:r>
        <w:rPr>
          <w:rFonts w:ascii="Calibri" w:hAnsi="Calibri"/>
          <w:color w:val="000000"/>
          <w:lang w:val="es-DO"/>
        </w:rPr>
        <w:t>.</w:t>
      </w:r>
      <w:r w:rsidR="002252B8">
        <w:rPr>
          <w:rFonts w:ascii="Calibri" w:hAnsi="Calibri"/>
          <w:color w:val="000000"/>
          <w:lang w:val="es-DO"/>
        </w:rPr>
        <w:t xml:space="preserve">19 </w:t>
      </w:r>
      <w:r>
        <w:rPr>
          <w:rFonts w:ascii="Calibri" w:hAnsi="Calibri"/>
          <w:color w:val="000000"/>
          <w:lang w:val="es-DO"/>
        </w:rPr>
        <w:t xml:space="preserve">% y </w:t>
      </w:r>
      <w:r w:rsidR="002252B8">
        <w:rPr>
          <w:rFonts w:ascii="Calibri" w:hAnsi="Calibri"/>
          <w:color w:val="000000"/>
          <w:lang w:val="es-DO"/>
        </w:rPr>
        <w:t xml:space="preserve">4.03 </w:t>
      </w:r>
      <w:r>
        <w:rPr>
          <w:rFonts w:ascii="Calibri" w:hAnsi="Calibri"/>
          <w:color w:val="000000"/>
          <w:lang w:val="es-DO"/>
        </w:rPr>
        <w:t>%, siendo 20</w:t>
      </w:r>
      <w:r w:rsidR="002252B8">
        <w:rPr>
          <w:rFonts w:ascii="Calibri" w:hAnsi="Calibri"/>
          <w:color w:val="000000"/>
          <w:lang w:val="es-DO"/>
        </w:rPr>
        <w:t>22</w:t>
      </w:r>
      <w:r>
        <w:rPr>
          <w:rFonts w:ascii="Calibri" w:hAnsi="Calibri"/>
          <w:color w:val="000000"/>
          <w:lang w:val="es-DO"/>
        </w:rPr>
        <w:t xml:space="preserve"> el año que computa las mayores desviaciones.</w:t>
      </w:r>
    </w:p>
    <w:p w14:paraId="35213E12" w14:textId="77777777" w:rsidR="003A1DD7" w:rsidRPr="008E2D67" w:rsidRDefault="003A1DD7">
      <w:pPr>
        <w:spacing w:after="160" w:line="259" w:lineRule="auto"/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</w:pPr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br w:type="page"/>
      </w:r>
    </w:p>
    <w:p w14:paraId="202BC032" w14:textId="6666641C" w:rsidR="00647FBD" w:rsidRPr="008E2D67" w:rsidRDefault="00647FBD" w:rsidP="00E04952">
      <w:pPr>
        <w:keepNext/>
        <w:keepLines/>
        <w:spacing w:before="40"/>
        <w:outlineLvl w:val="1"/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</w:pPr>
      <w:bookmarkStart w:id="30" w:name="_Toc89157434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lastRenderedPageBreak/>
        <w:t xml:space="preserve">2.4 Comparativo entre la Distribución Territorial Establecida por el Marco Legal Vigente y la Ejecutada por el Consejo Provincial de </w:t>
      </w:r>
      <w:proofErr w:type="spellStart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FOMISAR</w:t>
      </w:r>
      <w:proofErr w:type="spellEnd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 en 20</w:t>
      </w:r>
      <w:r w:rsidR="009B5A99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21</w:t>
      </w:r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 y 20</w:t>
      </w:r>
      <w:r w:rsidR="003A1DD7"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2</w:t>
      </w:r>
      <w:r w:rsidR="009B5A99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2 </w:t>
      </w:r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(Consolidado Primer y Segundo Nivel de Verificación)</w:t>
      </w:r>
      <w:bookmarkEnd w:id="29"/>
      <w:bookmarkEnd w:id="30"/>
    </w:p>
    <w:p w14:paraId="4978FF94" w14:textId="77777777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</w:p>
    <w:p w14:paraId="41F19A32" w14:textId="77777777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>Tabla No. 2.4.1</w:t>
      </w:r>
    </w:p>
    <w:p w14:paraId="6CB54A4D" w14:textId="79E144FE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 xml:space="preserve">Diferencia entre la Distribución Territorial aplicando las Ponderaciones de Referencia y lo Ejecutado por el Consejo Provincial de </w:t>
      </w:r>
      <w:proofErr w:type="spellStart"/>
      <w:r w:rsidRPr="008E2D67">
        <w:rPr>
          <w:rFonts w:ascii="Calibri" w:hAnsi="Calibri"/>
          <w:b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b/>
          <w:color w:val="000000"/>
          <w:lang w:val="es-DO"/>
        </w:rPr>
        <w:t xml:space="preserve"> 20</w:t>
      </w:r>
      <w:r w:rsidR="009B5A99">
        <w:rPr>
          <w:rFonts w:ascii="Calibri" w:hAnsi="Calibri"/>
          <w:b/>
          <w:color w:val="000000"/>
          <w:lang w:val="es-DO"/>
        </w:rPr>
        <w:t>21</w:t>
      </w:r>
    </w:p>
    <w:p w14:paraId="01F05986" w14:textId="458172D1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</w:p>
    <w:p w14:paraId="3A904C7D" w14:textId="410A700D" w:rsidR="002252B8" w:rsidRPr="008E2D67" w:rsidRDefault="00C118EB" w:rsidP="009C2A27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noProof/>
          <w:color w:val="000000"/>
          <w:lang w:val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696A3" wp14:editId="239C5F8D">
                <wp:simplePos x="0" y="0"/>
                <wp:positionH relativeFrom="column">
                  <wp:posOffset>-521995</wp:posOffset>
                </wp:positionH>
                <wp:positionV relativeFrom="paragraph">
                  <wp:posOffset>6472992</wp:posOffset>
                </wp:positionV>
                <wp:extent cx="7468870" cy="213756"/>
                <wp:effectExtent l="0" t="0" r="17780" b="15240"/>
                <wp:wrapNone/>
                <wp:docPr id="45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8870" cy="2137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FFA6C54" w14:textId="5C3DFFB0" w:rsidR="00647FBD" w:rsidRPr="003A1DD7" w:rsidRDefault="002252B8" w:rsidP="00647FB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8"/>
                              </w:rPr>
                              <w:t xml:space="preserve">                  </w:t>
                            </w:r>
                            <w:r w:rsidR="00647FBD" w:rsidRPr="003A1DD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8"/>
                              </w:rPr>
                              <w:t>Fuente:</w:t>
                            </w:r>
                            <w:r w:rsidR="00647FBD" w:rsidRPr="003A1DD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0D20F9" w:rsidRPr="000D20F9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Matriz de Distribución de Recursos </w:t>
                            </w:r>
                            <w:r w:rsidR="006A332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202</w:t>
                            </w:r>
                            <w:r w:rsidR="00963794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1</w:t>
                            </w:r>
                            <w:r w:rsidR="000D20F9" w:rsidRPr="000D20F9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 y </w:t>
                            </w:r>
                            <w:r w:rsidR="00647FBD" w:rsidRPr="003A1DD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Elaboración DAEF</w:t>
                            </w:r>
                            <w:r w:rsidR="006A332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S</w:t>
                            </w:r>
                            <w:r w:rsidR="00647FBD" w:rsidRPr="003A1DD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96A3" id="_x0000_s1028" type="#_x0000_t202" style="position:absolute;left:0;text-align:left;margin-left:-41.1pt;margin-top:509.7pt;width:588.1pt;height:16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" fillcolor="window" strokecolor="window" strokeweight=".5pt">
                <v:textbox>
                  <w:txbxContent>
                    <w:p w14:paraId="1FFA6C54" w14:textId="5C3DFFB0" w:rsidR="00647FBD" w:rsidRPr="003A1DD7" w:rsidRDefault="002252B8" w:rsidP="00647FBD">
                      <w:pPr>
                        <w:jc w:val="both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8"/>
                        </w:rPr>
                        <w:t xml:space="preserve">                  </w:t>
                      </w:r>
                      <w:r w:rsidR="00647FBD" w:rsidRPr="003A1DD7">
                        <w:rPr>
                          <w:rFonts w:asciiTheme="minorHAnsi" w:hAnsiTheme="minorHAnsi" w:cstheme="minorHAnsi"/>
                          <w:b/>
                          <w:sz w:val="16"/>
                          <w:szCs w:val="18"/>
                        </w:rPr>
                        <w:t>Fuente:</w:t>
                      </w:r>
                      <w:r w:rsidR="00647FBD" w:rsidRPr="003A1DD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 </w:t>
                      </w:r>
                      <w:r w:rsidR="000D20F9" w:rsidRPr="000D20F9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Matriz de Distribución de Recursos </w:t>
                      </w:r>
                      <w:r w:rsidR="006A332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202</w:t>
                      </w:r>
                      <w:r w:rsidR="00963794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1</w:t>
                      </w:r>
                      <w:r w:rsidR="000D20F9" w:rsidRPr="000D20F9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 y </w:t>
                      </w:r>
                      <w:r w:rsidR="00647FBD" w:rsidRPr="003A1DD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Elaboración DAEF</w:t>
                      </w:r>
                      <w:r w:rsidR="006A332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S</w:t>
                      </w:r>
                      <w:r w:rsidR="00647FBD" w:rsidRPr="003A1DD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731C68" w:rsidRPr="00731C68">
        <w:rPr>
          <w:noProof/>
        </w:rPr>
        <w:drawing>
          <wp:inline distT="0" distB="0" distL="0" distR="0" wp14:anchorId="66DAF999" wp14:editId="233B8663">
            <wp:extent cx="6055636" cy="6424551"/>
            <wp:effectExtent l="0" t="0" r="2540" b="0"/>
            <wp:docPr id="48650638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833" cy="643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632A" w14:textId="673B3916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lastRenderedPageBreak/>
        <w:t>Tabla No. 2.4.2</w:t>
      </w:r>
    </w:p>
    <w:p w14:paraId="677924DD" w14:textId="0FA12313" w:rsidR="00647FBD" w:rsidRPr="008E2D67" w:rsidRDefault="00647FBD" w:rsidP="00647FBD">
      <w:pPr>
        <w:jc w:val="center"/>
        <w:rPr>
          <w:rFonts w:ascii="Calibri" w:hAnsi="Calibri"/>
          <w:b/>
          <w:color w:val="000000"/>
          <w:lang w:val="es-DO"/>
        </w:rPr>
      </w:pPr>
      <w:r w:rsidRPr="008E2D67">
        <w:rPr>
          <w:rFonts w:ascii="Calibri" w:hAnsi="Calibri"/>
          <w:b/>
          <w:color w:val="000000"/>
          <w:lang w:val="es-DO"/>
        </w:rPr>
        <w:t xml:space="preserve">Diferencia entre la Distribución Territorial aplicando las Ponderaciones de Referencia y lo Ejecutado por el Consejo Provincial de </w:t>
      </w:r>
      <w:proofErr w:type="spellStart"/>
      <w:r w:rsidRPr="008E2D67">
        <w:rPr>
          <w:rFonts w:ascii="Calibri" w:hAnsi="Calibri"/>
          <w:b/>
          <w:color w:val="000000"/>
          <w:lang w:val="es-DO"/>
        </w:rPr>
        <w:t>FOMISAR</w:t>
      </w:r>
      <w:proofErr w:type="spellEnd"/>
      <w:r w:rsidRPr="008E2D67">
        <w:rPr>
          <w:rFonts w:ascii="Calibri" w:hAnsi="Calibri"/>
          <w:b/>
          <w:color w:val="000000"/>
          <w:lang w:val="es-DO"/>
        </w:rPr>
        <w:t xml:space="preserve"> </w:t>
      </w:r>
      <w:r w:rsidR="003A1DD7" w:rsidRPr="008E2D67">
        <w:rPr>
          <w:rFonts w:ascii="Calibri" w:hAnsi="Calibri"/>
          <w:b/>
          <w:color w:val="000000"/>
          <w:lang w:val="es-DO"/>
        </w:rPr>
        <w:t>202</w:t>
      </w:r>
      <w:r w:rsidR="009B5A99">
        <w:rPr>
          <w:rFonts w:ascii="Calibri" w:hAnsi="Calibri"/>
          <w:b/>
          <w:color w:val="000000"/>
          <w:lang w:val="es-DO"/>
        </w:rPr>
        <w:t>2</w:t>
      </w:r>
    </w:p>
    <w:bookmarkStart w:id="31" w:name="_Toc31065207"/>
    <w:p w14:paraId="09EAF299" w14:textId="0A160828" w:rsidR="009B7426" w:rsidRPr="008E2D67" w:rsidRDefault="009C2A27" w:rsidP="00645904">
      <w:pPr>
        <w:spacing w:after="160" w:line="259" w:lineRule="auto"/>
        <w:ind w:left="-142" w:firstLine="142"/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</w:pPr>
      <w:r w:rsidRPr="008E2D67">
        <w:rPr>
          <w:rFonts w:ascii="Calibri" w:hAnsi="Calibri"/>
          <w:b/>
          <w:noProof/>
          <w:color w:val="000000"/>
          <w:lang w:val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B18E65" wp14:editId="0B38C4D9">
                <wp:simplePos x="0" y="0"/>
                <wp:positionH relativeFrom="column">
                  <wp:posOffset>-739503</wp:posOffset>
                </wp:positionH>
                <wp:positionV relativeFrom="paragraph">
                  <wp:posOffset>6844970</wp:posOffset>
                </wp:positionV>
                <wp:extent cx="7468870" cy="281354"/>
                <wp:effectExtent l="0" t="0" r="17780" b="23495"/>
                <wp:wrapNone/>
                <wp:docPr id="8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8870" cy="2813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0319B14" w14:textId="18A294DB" w:rsidR="00C5345D" w:rsidRPr="003A1DD7" w:rsidRDefault="00645904" w:rsidP="00C5345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8"/>
                              </w:rPr>
                              <w:t xml:space="preserve">                           </w:t>
                            </w:r>
                            <w:r w:rsidR="00C5345D" w:rsidRPr="003A1DD7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8"/>
                              </w:rPr>
                              <w:t>Fuente:</w:t>
                            </w:r>
                            <w:r w:rsidR="00C5345D" w:rsidRPr="003A1DD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C5345D" w:rsidRPr="000D20F9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Matriz de Distribución de Recursos </w:t>
                            </w:r>
                            <w:r w:rsidR="006A332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2022</w:t>
                            </w:r>
                            <w:r w:rsidR="00C5345D" w:rsidRPr="000D20F9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 y </w:t>
                            </w:r>
                            <w:r w:rsidR="00C5345D" w:rsidRPr="003A1DD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Elaboración DAEF</w:t>
                            </w:r>
                            <w:r w:rsidR="006A332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S</w:t>
                            </w:r>
                            <w:r w:rsidR="00C5345D" w:rsidRPr="003A1DD7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18E65" id="_x0000_s1029" type="#_x0000_t202" style="position:absolute;left:0;text-align:left;margin-left:-58.25pt;margin-top:538.95pt;width:588.1pt;height:22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" fillcolor="window" strokecolor="window" strokeweight=".5pt">
                <v:textbox>
                  <w:txbxContent>
                    <w:p w14:paraId="70319B14" w14:textId="18A294DB" w:rsidR="00C5345D" w:rsidRPr="003A1DD7" w:rsidRDefault="00645904" w:rsidP="00C5345D">
                      <w:pPr>
                        <w:jc w:val="both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8"/>
                        </w:rPr>
                        <w:t xml:space="preserve">                           </w:t>
                      </w:r>
                      <w:r w:rsidR="00C5345D" w:rsidRPr="003A1DD7">
                        <w:rPr>
                          <w:rFonts w:asciiTheme="minorHAnsi" w:hAnsiTheme="minorHAnsi" w:cstheme="minorHAnsi"/>
                          <w:b/>
                          <w:sz w:val="16"/>
                          <w:szCs w:val="18"/>
                        </w:rPr>
                        <w:t>Fuente:</w:t>
                      </w:r>
                      <w:r w:rsidR="00C5345D" w:rsidRPr="003A1DD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 </w:t>
                      </w:r>
                      <w:r w:rsidR="00C5345D" w:rsidRPr="000D20F9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Matriz de Distribución de Recursos </w:t>
                      </w:r>
                      <w:r w:rsidR="006A332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2022</w:t>
                      </w:r>
                      <w:r w:rsidR="00C5345D" w:rsidRPr="000D20F9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 y </w:t>
                      </w:r>
                      <w:r w:rsidR="00C5345D" w:rsidRPr="003A1DD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Elaboración DAEF</w:t>
                      </w:r>
                      <w:r w:rsidR="006A332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S</w:t>
                      </w:r>
                      <w:r w:rsidR="00C5345D" w:rsidRPr="003A1DD7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Pr="009C2A27">
        <w:rPr>
          <w:noProof/>
        </w:rPr>
        <w:drawing>
          <wp:inline distT="0" distB="0" distL="0" distR="0" wp14:anchorId="50321C52" wp14:editId="36251438">
            <wp:extent cx="6187044" cy="6767791"/>
            <wp:effectExtent l="0" t="0" r="4445" b="0"/>
            <wp:docPr id="1595540530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216" cy="677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7426"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br w:type="page"/>
      </w:r>
    </w:p>
    <w:p w14:paraId="68F6BF0C" w14:textId="61F9ACD4" w:rsidR="00647FBD" w:rsidRPr="008E2D67" w:rsidRDefault="00D67930" w:rsidP="00E04952">
      <w:pPr>
        <w:keepNext/>
        <w:keepLines/>
        <w:spacing w:before="40"/>
        <w:outlineLvl w:val="1"/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</w:pPr>
      <w:bookmarkStart w:id="32" w:name="_Toc89157435"/>
      <w:bookmarkEnd w:id="31"/>
      <w:r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lastRenderedPageBreak/>
        <w:t>Conclusiones</w:t>
      </w:r>
      <w:bookmarkEnd w:id="32"/>
    </w:p>
    <w:p w14:paraId="5D0C2119" w14:textId="77777777" w:rsidR="00647FBD" w:rsidRPr="008E2D67" w:rsidRDefault="00647FBD" w:rsidP="00647FBD">
      <w:pPr>
        <w:tabs>
          <w:tab w:val="left" w:pos="2751"/>
        </w:tabs>
        <w:spacing w:after="160" w:line="259" w:lineRule="auto"/>
        <w:rPr>
          <w:rFonts w:ascii="Calibri" w:hAnsi="Calibri"/>
          <w:lang w:val="es-DO"/>
        </w:rPr>
      </w:pPr>
    </w:p>
    <w:p w14:paraId="355EB1F2" w14:textId="38B2B138" w:rsidR="00647FBD" w:rsidRPr="001C4DEA" w:rsidRDefault="00647FBD" w:rsidP="00647FBD">
      <w:pPr>
        <w:numPr>
          <w:ilvl w:val="0"/>
          <w:numId w:val="15"/>
        </w:numPr>
        <w:tabs>
          <w:tab w:val="left" w:pos="3402"/>
        </w:tabs>
        <w:spacing w:after="160" w:line="259" w:lineRule="auto"/>
        <w:contextualSpacing/>
        <w:jc w:val="both"/>
        <w:rPr>
          <w:rFonts w:ascii="Calibri" w:hAnsi="Calibri"/>
          <w:color w:val="000000"/>
          <w:lang w:val="es-DO"/>
        </w:rPr>
      </w:pPr>
      <w:r w:rsidRPr="001C4DEA">
        <w:rPr>
          <w:rFonts w:ascii="Calibri" w:hAnsi="Calibri"/>
          <w:color w:val="000000"/>
          <w:lang w:val="es-DO"/>
        </w:rPr>
        <w:t xml:space="preserve">Al establecer una comparación entre las cifras transferidas por el Gobierno Central, a través del Ministerio de Energía y Minas, y el monto equivalente al 5% del Impuesto Sobre la Renta pagado por </w:t>
      </w:r>
      <w:proofErr w:type="spellStart"/>
      <w:r w:rsidRPr="001C4DEA">
        <w:rPr>
          <w:rFonts w:ascii="Calibri" w:hAnsi="Calibri"/>
          <w:color w:val="000000"/>
          <w:lang w:val="es-DO"/>
        </w:rPr>
        <w:t>PVDC</w:t>
      </w:r>
      <w:proofErr w:type="spellEnd"/>
      <w:r w:rsidRPr="001C4DEA">
        <w:rPr>
          <w:rFonts w:ascii="Calibri" w:hAnsi="Calibri"/>
          <w:color w:val="000000"/>
          <w:lang w:val="es-DO"/>
        </w:rPr>
        <w:t xml:space="preserve"> en </w:t>
      </w:r>
      <w:r w:rsidR="00E111EF">
        <w:rPr>
          <w:rFonts w:ascii="Calibri" w:hAnsi="Calibri"/>
          <w:color w:val="000000"/>
          <w:lang w:val="es-DO"/>
        </w:rPr>
        <w:t>2021</w:t>
      </w:r>
      <w:r w:rsidRPr="001C4DEA">
        <w:rPr>
          <w:rFonts w:ascii="Calibri" w:hAnsi="Calibri"/>
          <w:color w:val="000000"/>
          <w:lang w:val="es-DO"/>
        </w:rPr>
        <w:t xml:space="preserve"> y 20</w:t>
      </w:r>
      <w:r w:rsidR="00B25410" w:rsidRPr="001C4DEA">
        <w:rPr>
          <w:rFonts w:ascii="Calibri" w:hAnsi="Calibri"/>
          <w:color w:val="000000"/>
          <w:lang w:val="es-DO"/>
        </w:rPr>
        <w:t>2</w:t>
      </w:r>
      <w:r w:rsidR="00E111EF">
        <w:rPr>
          <w:rFonts w:ascii="Calibri" w:hAnsi="Calibri"/>
          <w:color w:val="000000"/>
          <w:lang w:val="es-DO"/>
        </w:rPr>
        <w:t>2</w:t>
      </w:r>
      <w:r w:rsidRPr="001C4DEA">
        <w:rPr>
          <w:rFonts w:ascii="Calibri" w:hAnsi="Calibri"/>
          <w:b/>
          <w:color w:val="000000"/>
          <w:lang w:val="es-DO"/>
        </w:rPr>
        <w:t xml:space="preserve">, se obtiene una variación absoluta negativa de RD$ </w:t>
      </w:r>
      <w:r w:rsidR="00F56CD8" w:rsidRPr="001C4DEA">
        <w:rPr>
          <w:rFonts w:ascii="Calibri" w:hAnsi="Calibri"/>
          <w:b/>
          <w:color w:val="000000"/>
          <w:lang w:val="es-DO"/>
        </w:rPr>
        <w:t>4</w:t>
      </w:r>
      <w:r w:rsidR="00E111EF">
        <w:rPr>
          <w:rFonts w:ascii="Calibri" w:hAnsi="Calibri"/>
          <w:b/>
          <w:color w:val="000000"/>
          <w:lang w:val="es-DO"/>
        </w:rPr>
        <w:t>27</w:t>
      </w:r>
      <w:r w:rsidR="00F56CD8" w:rsidRPr="001C4DEA">
        <w:rPr>
          <w:rFonts w:ascii="Calibri" w:hAnsi="Calibri"/>
          <w:b/>
          <w:color w:val="000000"/>
          <w:lang w:val="es-DO"/>
        </w:rPr>
        <w:t>.</w:t>
      </w:r>
      <w:r w:rsidR="00E111EF">
        <w:rPr>
          <w:rFonts w:ascii="Calibri" w:hAnsi="Calibri"/>
          <w:b/>
          <w:color w:val="000000"/>
          <w:lang w:val="es-DO"/>
        </w:rPr>
        <w:t>5</w:t>
      </w:r>
      <w:r w:rsidR="00F56CD8" w:rsidRPr="001C4DEA">
        <w:rPr>
          <w:rFonts w:ascii="Calibri" w:hAnsi="Calibri"/>
          <w:b/>
          <w:color w:val="000000"/>
          <w:lang w:val="es-DO"/>
        </w:rPr>
        <w:t>1</w:t>
      </w:r>
      <w:r w:rsidRPr="001C4DEA">
        <w:rPr>
          <w:rFonts w:ascii="Calibri" w:hAnsi="Calibri"/>
          <w:b/>
          <w:color w:val="000000"/>
          <w:lang w:val="es-DO"/>
        </w:rPr>
        <w:t xml:space="preserve"> millones en </w:t>
      </w:r>
      <w:r w:rsidR="00E111EF">
        <w:rPr>
          <w:rFonts w:ascii="Calibri" w:hAnsi="Calibri"/>
          <w:b/>
          <w:color w:val="000000"/>
          <w:lang w:val="es-DO"/>
        </w:rPr>
        <w:t>2021</w:t>
      </w:r>
      <w:r w:rsidR="00B25410" w:rsidRPr="001C4DEA">
        <w:rPr>
          <w:rFonts w:ascii="Calibri" w:hAnsi="Calibri"/>
          <w:b/>
          <w:color w:val="000000"/>
          <w:lang w:val="es-DO"/>
        </w:rPr>
        <w:t xml:space="preserve"> y </w:t>
      </w:r>
      <w:r w:rsidRPr="001C4DEA">
        <w:rPr>
          <w:rFonts w:ascii="Calibri" w:hAnsi="Calibri"/>
          <w:b/>
          <w:color w:val="000000"/>
          <w:lang w:val="es-DO"/>
        </w:rPr>
        <w:t xml:space="preserve">RD$ </w:t>
      </w:r>
      <w:r w:rsidR="00E111EF">
        <w:rPr>
          <w:rFonts w:ascii="Calibri" w:hAnsi="Calibri"/>
          <w:b/>
          <w:color w:val="000000"/>
          <w:lang w:val="es-DO"/>
        </w:rPr>
        <w:t>92</w:t>
      </w:r>
      <w:r w:rsidR="00F56CD8" w:rsidRPr="001C4DEA">
        <w:rPr>
          <w:rFonts w:ascii="Calibri" w:hAnsi="Calibri"/>
          <w:b/>
          <w:color w:val="000000"/>
          <w:lang w:val="es-DO"/>
        </w:rPr>
        <w:t xml:space="preserve">.11 </w:t>
      </w:r>
      <w:r w:rsidRPr="001C4DEA">
        <w:rPr>
          <w:rFonts w:ascii="Calibri" w:hAnsi="Calibri"/>
          <w:b/>
          <w:color w:val="000000"/>
          <w:lang w:val="es-DO"/>
        </w:rPr>
        <w:t>millones</w:t>
      </w:r>
      <w:r w:rsidR="00B25410" w:rsidRPr="001C4DEA">
        <w:rPr>
          <w:rFonts w:ascii="Calibri" w:hAnsi="Calibri"/>
          <w:b/>
          <w:color w:val="000000"/>
          <w:lang w:val="es-DO"/>
        </w:rPr>
        <w:t xml:space="preserve"> en el </w:t>
      </w:r>
      <w:r w:rsidR="00E111EF">
        <w:rPr>
          <w:rFonts w:ascii="Calibri" w:hAnsi="Calibri"/>
          <w:b/>
          <w:color w:val="000000"/>
          <w:lang w:val="es-DO"/>
        </w:rPr>
        <w:t>2022</w:t>
      </w:r>
      <w:r w:rsidRPr="001C4DEA">
        <w:rPr>
          <w:rFonts w:ascii="Calibri" w:hAnsi="Calibri"/>
          <w:b/>
          <w:color w:val="000000"/>
          <w:lang w:val="es-DO"/>
        </w:rPr>
        <w:t xml:space="preserve"> (-</w:t>
      </w:r>
      <w:r w:rsidR="00E111EF">
        <w:rPr>
          <w:rFonts w:ascii="Calibri" w:hAnsi="Calibri"/>
          <w:b/>
          <w:color w:val="000000"/>
          <w:lang w:val="es-DO"/>
        </w:rPr>
        <w:t xml:space="preserve"> 68</w:t>
      </w:r>
      <w:r w:rsidR="00F56CD8" w:rsidRPr="001C4DEA">
        <w:rPr>
          <w:rFonts w:ascii="Calibri" w:hAnsi="Calibri"/>
          <w:b/>
          <w:color w:val="000000"/>
          <w:lang w:val="es-DO"/>
        </w:rPr>
        <w:t>.</w:t>
      </w:r>
      <w:r w:rsidR="00E111EF">
        <w:rPr>
          <w:rFonts w:ascii="Calibri" w:hAnsi="Calibri"/>
          <w:b/>
          <w:color w:val="000000"/>
          <w:lang w:val="es-DO"/>
        </w:rPr>
        <w:t xml:space="preserve">13 </w:t>
      </w:r>
      <w:r w:rsidRPr="001C4DEA">
        <w:rPr>
          <w:rFonts w:ascii="Calibri" w:hAnsi="Calibri"/>
          <w:b/>
          <w:color w:val="000000"/>
          <w:lang w:val="es-DO"/>
        </w:rPr>
        <w:t>% y</w:t>
      </w:r>
      <w:r w:rsidR="00E111EF">
        <w:rPr>
          <w:rFonts w:ascii="Calibri" w:hAnsi="Calibri"/>
          <w:b/>
          <w:color w:val="000000"/>
          <w:lang w:val="es-DO"/>
        </w:rPr>
        <w:t xml:space="preserve"> </w:t>
      </w:r>
      <w:r w:rsidR="00B25410" w:rsidRPr="001C4DEA">
        <w:rPr>
          <w:rFonts w:ascii="Calibri" w:hAnsi="Calibri"/>
          <w:b/>
          <w:color w:val="000000"/>
          <w:lang w:val="es-DO"/>
        </w:rPr>
        <w:t>-</w:t>
      </w:r>
      <w:r w:rsidR="00E111EF">
        <w:rPr>
          <w:rFonts w:ascii="Calibri" w:hAnsi="Calibri"/>
          <w:b/>
          <w:color w:val="000000"/>
          <w:lang w:val="es-DO"/>
        </w:rPr>
        <w:t xml:space="preserve"> 23</w:t>
      </w:r>
      <w:r w:rsidR="00F56CD8" w:rsidRPr="001C4DEA">
        <w:rPr>
          <w:rFonts w:ascii="Calibri" w:hAnsi="Calibri"/>
          <w:b/>
          <w:color w:val="000000"/>
          <w:lang w:val="es-DO"/>
        </w:rPr>
        <w:t>.</w:t>
      </w:r>
      <w:r w:rsidR="00E111EF">
        <w:rPr>
          <w:rFonts w:ascii="Calibri" w:hAnsi="Calibri"/>
          <w:b/>
          <w:color w:val="000000"/>
          <w:lang w:val="es-DO"/>
        </w:rPr>
        <w:t xml:space="preserve">61 </w:t>
      </w:r>
      <w:r w:rsidRPr="001C4DEA">
        <w:rPr>
          <w:rFonts w:ascii="Calibri" w:hAnsi="Calibri"/>
          <w:b/>
          <w:color w:val="000000"/>
          <w:lang w:val="es-DO"/>
        </w:rPr>
        <w:t>%</w:t>
      </w:r>
      <w:r w:rsidR="00A827F1">
        <w:rPr>
          <w:rFonts w:ascii="Calibri" w:hAnsi="Calibri"/>
          <w:b/>
          <w:color w:val="000000"/>
          <w:lang w:val="es-DO"/>
        </w:rPr>
        <w:t>,</w:t>
      </w:r>
      <w:r w:rsidRPr="001C4DEA">
        <w:rPr>
          <w:rFonts w:ascii="Calibri" w:hAnsi="Calibri"/>
          <w:b/>
          <w:color w:val="000000"/>
          <w:lang w:val="es-DO"/>
        </w:rPr>
        <w:t xml:space="preserve"> en términos relativos, respectivamente).</w:t>
      </w:r>
      <w:r w:rsidR="00120E87" w:rsidRPr="001C4DEA">
        <w:rPr>
          <w:rFonts w:ascii="Calibri" w:hAnsi="Calibri"/>
          <w:b/>
          <w:color w:val="000000"/>
          <w:lang w:val="es-DO"/>
        </w:rPr>
        <w:t xml:space="preserve"> </w:t>
      </w:r>
    </w:p>
    <w:p w14:paraId="0CDD600B" w14:textId="77777777" w:rsidR="00647FBD" w:rsidRPr="008E2D67" w:rsidRDefault="00647FBD" w:rsidP="00647FBD">
      <w:pPr>
        <w:tabs>
          <w:tab w:val="left" w:pos="2751"/>
        </w:tabs>
        <w:spacing w:after="160" w:line="259" w:lineRule="auto"/>
        <w:jc w:val="both"/>
        <w:rPr>
          <w:rFonts w:ascii="Calibri" w:hAnsi="Calibri"/>
          <w:lang w:val="es-DO"/>
        </w:rPr>
      </w:pPr>
    </w:p>
    <w:p w14:paraId="18368C6F" w14:textId="10D49586" w:rsidR="00B25410" w:rsidRPr="001C4DEA" w:rsidRDefault="00647FBD" w:rsidP="0098473F">
      <w:pPr>
        <w:numPr>
          <w:ilvl w:val="0"/>
          <w:numId w:val="15"/>
        </w:numPr>
        <w:tabs>
          <w:tab w:val="left" w:pos="3402"/>
        </w:tabs>
        <w:spacing w:after="160" w:line="259" w:lineRule="auto"/>
        <w:contextualSpacing/>
        <w:jc w:val="both"/>
        <w:rPr>
          <w:rFonts w:ascii="Calibri" w:hAnsi="Calibri"/>
          <w:b/>
          <w:color w:val="000000"/>
          <w:lang w:val="es-DO"/>
        </w:rPr>
      </w:pPr>
      <w:r w:rsidRPr="001C4DEA">
        <w:rPr>
          <w:rFonts w:ascii="Calibri" w:hAnsi="Calibri"/>
          <w:color w:val="000000"/>
          <w:lang w:val="es-DO"/>
        </w:rPr>
        <w:t xml:space="preserve">Al comparar la sumatoria de los montos transferidos por el Gobierno Central al Consejo Provincial de </w:t>
      </w:r>
      <w:proofErr w:type="spellStart"/>
      <w:r w:rsidRPr="001C4DEA">
        <w:rPr>
          <w:rFonts w:ascii="Calibri" w:hAnsi="Calibri"/>
          <w:color w:val="000000"/>
          <w:lang w:val="es-DO"/>
        </w:rPr>
        <w:t>FOMISAR</w:t>
      </w:r>
      <w:proofErr w:type="spellEnd"/>
      <w:r w:rsidRPr="001C4DEA">
        <w:rPr>
          <w:rFonts w:ascii="Calibri" w:hAnsi="Calibri"/>
          <w:color w:val="000000"/>
          <w:lang w:val="es-DO"/>
        </w:rPr>
        <w:t xml:space="preserve"> desde 2016 hasta </w:t>
      </w:r>
      <w:r w:rsidR="00E111EF">
        <w:rPr>
          <w:rFonts w:ascii="Calibri" w:hAnsi="Calibri"/>
          <w:color w:val="000000"/>
          <w:lang w:val="es-DO"/>
        </w:rPr>
        <w:t>2022</w:t>
      </w:r>
      <w:r w:rsidRPr="001C4DEA">
        <w:rPr>
          <w:rFonts w:ascii="Calibri" w:hAnsi="Calibri"/>
          <w:color w:val="000000"/>
          <w:lang w:val="es-DO"/>
        </w:rPr>
        <w:t xml:space="preserve">, y el 5% del ISR pagado por </w:t>
      </w:r>
      <w:proofErr w:type="spellStart"/>
      <w:r w:rsidRPr="001C4DEA">
        <w:rPr>
          <w:rFonts w:ascii="Calibri" w:hAnsi="Calibri"/>
          <w:color w:val="000000"/>
          <w:lang w:val="es-DO"/>
        </w:rPr>
        <w:t>PVDC</w:t>
      </w:r>
      <w:proofErr w:type="spellEnd"/>
      <w:r w:rsidRPr="001C4DEA">
        <w:rPr>
          <w:rFonts w:ascii="Calibri" w:hAnsi="Calibri"/>
          <w:color w:val="000000"/>
          <w:lang w:val="es-DO"/>
        </w:rPr>
        <w:t xml:space="preserve"> para esos años, </w:t>
      </w:r>
      <w:r w:rsidRPr="001C4DEA">
        <w:rPr>
          <w:rFonts w:ascii="Calibri" w:hAnsi="Calibri"/>
          <w:b/>
          <w:color w:val="000000"/>
          <w:lang w:val="es-DO"/>
        </w:rPr>
        <w:t xml:space="preserve">se observa </w:t>
      </w:r>
      <w:r w:rsidR="00B25410" w:rsidRPr="001C4DEA">
        <w:rPr>
          <w:rFonts w:ascii="Calibri" w:hAnsi="Calibri"/>
          <w:b/>
          <w:color w:val="000000"/>
          <w:lang w:val="es-DO"/>
        </w:rPr>
        <w:t>un</w:t>
      </w:r>
      <w:r w:rsidR="008F65EE" w:rsidRPr="001C4DEA">
        <w:rPr>
          <w:rFonts w:ascii="Calibri" w:hAnsi="Calibri"/>
          <w:b/>
          <w:color w:val="000000"/>
          <w:lang w:val="es-DO"/>
        </w:rPr>
        <w:t xml:space="preserve"> saldo consolidado negativo </w:t>
      </w:r>
      <w:r w:rsidR="001C4DEA" w:rsidRPr="001C4DEA">
        <w:rPr>
          <w:rFonts w:ascii="Calibri" w:hAnsi="Calibri"/>
          <w:b/>
          <w:color w:val="000000"/>
          <w:lang w:val="es-DO"/>
        </w:rPr>
        <w:t xml:space="preserve">ascendente a </w:t>
      </w:r>
      <w:r w:rsidR="00B25410" w:rsidRPr="001C4DEA">
        <w:rPr>
          <w:rFonts w:ascii="Calibri" w:hAnsi="Calibri"/>
          <w:b/>
          <w:color w:val="000000"/>
          <w:lang w:val="es-DO"/>
        </w:rPr>
        <w:t xml:space="preserve">RD$ </w:t>
      </w:r>
      <w:r w:rsidR="001C7BFB">
        <w:rPr>
          <w:rFonts w:ascii="Calibri" w:hAnsi="Calibri"/>
          <w:b/>
          <w:color w:val="000000"/>
          <w:lang w:val="es-DO"/>
        </w:rPr>
        <w:t>79</w:t>
      </w:r>
      <w:r w:rsidR="00F56CD8" w:rsidRPr="001C4DEA">
        <w:rPr>
          <w:rFonts w:ascii="Calibri" w:hAnsi="Calibri"/>
          <w:b/>
          <w:color w:val="000000"/>
          <w:lang w:val="es-DO"/>
        </w:rPr>
        <w:t>4.</w:t>
      </w:r>
      <w:r w:rsidR="00685F48">
        <w:rPr>
          <w:rFonts w:ascii="Calibri" w:hAnsi="Calibri"/>
          <w:b/>
          <w:color w:val="000000"/>
          <w:lang w:val="es-DO"/>
        </w:rPr>
        <w:t>94</w:t>
      </w:r>
      <w:r w:rsidR="00B25410" w:rsidRPr="001C4DEA">
        <w:rPr>
          <w:rFonts w:ascii="Calibri" w:hAnsi="Calibri"/>
          <w:b/>
          <w:color w:val="000000"/>
          <w:lang w:val="es-DO"/>
        </w:rPr>
        <w:t xml:space="preserve"> millones (</w:t>
      </w:r>
      <w:r w:rsidR="00685F48">
        <w:rPr>
          <w:rFonts w:ascii="Calibri" w:hAnsi="Calibri"/>
          <w:b/>
          <w:color w:val="000000"/>
          <w:lang w:val="es-DO"/>
        </w:rPr>
        <w:t>- 34</w:t>
      </w:r>
      <w:r w:rsidR="00F56CD8" w:rsidRPr="001C4DEA">
        <w:rPr>
          <w:rFonts w:ascii="Calibri" w:hAnsi="Calibri"/>
          <w:b/>
          <w:color w:val="000000"/>
          <w:lang w:val="es-DO"/>
        </w:rPr>
        <w:t>.</w:t>
      </w:r>
      <w:r w:rsidR="00685F48">
        <w:rPr>
          <w:rFonts w:ascii="Calibri" w:hAnsi="Calibri"/>
          <w:b/>
          <w:color w:val="000000"/>
          <w:lang w:val="es-DO"/>
        </w:rPr>
        <w:t>64</w:t>
      </w:r>
      <w:r w:rsidR="00B25410" w:rsidRPr="001C4DEA">
        <w:rPr>
          <w:rFonts w:ascii="Calibri" w:hAnsi="Calibri"/>
          <w:b/>
          <w:color w:val="000000"/>
          <w:lang w:val="es-DO"/>
        </w:rPr>
        <w:t>%</w:t>
      </w:r>
      <w:r w:rsidR="001C4DEA">
        <w:rPr>
          <w:rFonts w:ascii="Calibri" w:hAnsi="Calibri"/>
          <w:b/>
          <w:color w:val="000000"/>
          <w:lang w:val="es-DO"/>
        </w:rPr>
        <w:t>, en términos porcentuales</w:t>
      </w:r>
      <w:r w:rsidR="00B25410" w:rsidRPr="001C4DEA">
        <w:rPr>
          <w:rFonts w:ascii="Calibri" w:hAnsi="Calibri"/>
          <w:b/>
          <w:color w:val="000000"/>
          <w:lang w:val="es-DO"/>
        </w:rPr>
        <w:t xml:space="preserve">). </w:t>
      </w:r>
      <w:r w:rsidR="00B25410" w:rsidRPr="001C4DEA">
        <w:rPr>
          <w:rFonts w:ascii="Calibri" w:hAnsi="Calibri"/>
          <w:bCs/>
          <w:color w:val="000000"/>
          <w:lang w:val="es-DO"/>
        </w:rPr>
        <w:t xml:space="preserve">Para los años 2016 y 2018 </w:t>
      </w:r>
      <w:r w:rsidR="008F65EE" w:rsidRPr="001C4DEA">
        <w:rPr>
          <w:rFonts w:ascii="Calibri" w:hAnsi="Calibri"/>
          <w:bCs/>
          <w:color w:val="000000"/>
          <w:lang w:val="es-DO"/>
        </w:rPr>
        <w:t xml:space="preserve">el monto transferido por el </w:t>
      </w:r>
      <w:r w:rsidR="00DF0CB0" w:rsidRPr="001C4DEA">
        <w:rPr>
          <w:rFonts w:ascii="Calibri" w:hAnsi="Calibri"/>
          <w:bCs/>
          <w:color w:val="000000"/>
          <w:lang w:val="es-DO"/>
        </w:rPr>
        <w:t xml:space="preserve">Gobierno Central a </w:t>
      </w:r>
      <w:proofErr w:type="spellStart"/>
      <w:r w:rsidR="00DF0CB0" w:rsidRPr="001C4DEA">
        <w:rPr>
          <w:rFonts w:ascii="Calibri" w:hAnsi="Calibri"/>
          <w:bCs/>
          <w:color w:val="000000"/>
          <w:lang w:val="es-DO"/>
        </w:rPr>
        <w:t>FOMISAR</w:t>
      </w:r>
      <w:proofErr w:type="spellEnd"/>
      <w:r w:rsidR="008F65EE" w:rsidRPr="001C4DEA">
        <w:rPr>
          <w:rFonts w:ascii="Calibri" w:hAnsi="Calibri"/>
          <w:bCs/>
          <w:color w:val="000000"/>
          <w:lang w:val="es-DO"/>
        </w:rPr>
        <w:t xml:space="preserve"> fue superior </w:t>
      </w:r>
      <w:r w:rsidR="001C4DEA" w:rsidRPr="001C4DEA">
        <w:rPr>
          <w:rFonts w:ascii="Calibri" w:hAnsi="Calibri"/>
          <w:bCs/>
          <w:color w:val="000000"/>
          <w:lang w:val="es-DO"/>
        </w:rPr>
        <w:t>en un 65.52% y 8.95%</w:t>
      </w:r>
      <w:r w:rsidR="001C4DEA">
        <w:rPr>
          <w:rFonts w:ascii="Calibri" w:hAnsi="Calibri"/>
          <w:bCs/>
          <w:color w:val="000000"/>
          <w:lang w:val="es-DO"/>
        </w:rPr>
        <w:t xml:space="preserve">, con respecto al 5% del ISR pagado por </w:t>
      </w:r>
      <w:proofErr w:type="spellStart"/>
      <w:r w:rsidR="001C4DEA">
        <w:rPr>
          <w:rFonts w:ascii="Calibri" w:hAnsi="Calibri"/>
          <w:bCs/>
          <w:color w:val="000000"/>
          <w:lang w:val="es-DO"/>
        </w:rPr>
        <w:t>PVDC</w:t>
      </w:r>
      <w:proofErr w:type="spellEnd"/>
      <w:r w:rsidR="008F65EE" w:rsidRPr="001C4DEA">
        <w:rPr>
          <w:rFonts w:ascii="Calibri" w:hAnsi="Calibri"/>
          <w:bCs/>
          <w:color w:val="000000"/>
          <w:lang w:val="es-DO"/>
        </w:rPr>
        <w:t xml:space="preserve">. Mientras que, para </w:t>
      </w:r>
      <w:r w:rsidR="00FE173A" w:rsidRPr="001C4DEA">
        <w:rPr>
          <w:rFonts w:ascii="Calibri" w:hAnsi="Calibri"/>
          <w:bCs/>
          <w:color w:val="000000"/>
          <w:lang w:val="es-DO"/>
        </w:rPr>
        <w:t>los</w:t>
      </w:r>
      <w:r w:rsidR="00685F48">
        <w:rPr>
          <w:rFonts w:ascii="Calibri" w:hAnsi="Calibri"/>
          <w:bCs/>
          <w:color w:val="000000"/>
          <w:lang w:val="es-DO"/>
        </w:rPr>
        <w:t xml:space="preserve"> demás</w:t>
      </w:r>
      <w:r w:rsidR="00FE173A" w:rsidRPr="001C4DEA">
        <w:rPr>
          <w:rFonts w:ascii="Calibri" w:hAnsi="Calibri"/>
          <w:bCs/>
          <w:color w:val="000000"/>
          <w:lang w:val="es-DO"/>
        </w:rPr>
        <w:t xml:space="preserve"> años </w:t>
      </w:r>
      <w:r w:rsidR="008F65EE" w:rsidRPr="001C4DEA">
        <w:rPr>
          <w:rFonts w:ascii="Calibri" w:hAnsi="Calibri"/>
          <w:bCs/>
          <w:color w:val="000000"/>
          <w:lang w:val="es-DO"/>
        </w:rPr>
        <w:t>el valor transferido estuvo por debajo.</w:t>
      </w:r>
    </w:p>
    <w:p w14:paraId="3927B50B" w14:textId="77777777" w:rsidR="00647FBD" w:rsidRPr="008E2D67" w:rsidRDefault="00647FBD" w:rsidP="00647FBD">
      <w:pPr>
        <w:tabs>
          <w:tab w:val="left" w:pos="2751"/>
        </w:tabs>
        <w:spacing w:after="160" w:line="259" w:lineRule="auto"/>
        <w:ind w:left="360"/>
        <w:contextualSpacing/>
        <w:jc w:val="both"/>
        <w:rPr>
          <w:rFonts w:ascii="Calibri" w:hAnsi="Calibri"/>
          <w:lang w:val="es-DO"/>
        </w:rPr>
      </w:pPr>
    </w:p>
    <w:p w14:paraId="0FF9AE3E" w14:textId="716B4FFB" w:rsidR="009B7426" w:rsidRPr="008E2D67" w:rsidRDefault="00647FBD" w:rsidP="00647FBD">
      <w:pPr>
        <w:numPr>
          <w:ilvl w:val="0"/>
          <w:numId w:val="15"/>
        </w:numPr>
        <w:tabs>
          <w:tab w:val="left" w:pos="2751"/>
        </w:tabs>
        <w:spacing w:after="160" w:line="259" w:lineRule="auto"/>
        <w:contextualSpacing/>
        <w:jc w:val="both"/>
        <w:rPr>
          <w:rFonts w:ascii="Calibri" w:hAnsi="Calibri"/>
          <w:b/>
          <w:lang w:val="es-DO"/>
        </w:rPr>
      </w:pPr>
      <w:r w:rsidRPr="008E2D67">
        <w:rPr>
          <w:rFonts w:ascii="Calibri" w:hAnsi="Calibri"/>
          <w:b/>
          <w:lang w:val="es-DO"/>
        </w:rPr>
        <w:t xml:space="preserve">En </w:t>
      </w:r>
      <w:r w:rsidR="00A827F1">
        <w:rPr>
          <w:rFonts w:ascii="Calibri" w:hAnsi="Calibri"/>
          <w:b/>
          <w:lang w:val="es-DO"/>
        </w:rPr>
        <w:t>el</w:t>
      </w:r>
      <w:r w:rsidRPr="008E2D67">
        <w:rPr>
          <w:rFonts w:ascii="Calibri" w:hAnsi="Calibri"/>
          <w:b/>
          <w:lang w:val="es-DO"/>
        </w:rPr>
        <w:t xml:space="preserve"> primer nivel de verificación</w:t>
      </w:r>
      <w:r w:rsidRPr="008E2D67">
        <w:rPr>
          <w:rFonts w:ascii="Calibri" w:hAnsi="Calibri"/>
          <w:lang w:val="es-DO"/>
        </w:rPr>
        <w:t>, en el que se eva</w:t>
      </w:r>
      <w:r w:rsidR="00A827F1">
        <w:rPr>
          <w:rFonts w:ascii="Calibri" w:hAnsi="Calibri"/>
          <w:lang w:val="es-DO"/>
        </w:rPr>
        <w:t>luaron</w:t>
      </w:r>
      <w:r w:rsidRPr="008E2D67">
        <w:rPr>
          <w:rFonts w:ascii="Calibri" w:hAnsi="Calibri"/>
          <w:lang w:val="es-DO"/>
        </w:rPr>
        <w:t xml:space="preserve"> los fondos asignados por el Consejo Provincial de </w:t>
      </w:r>
      <w:proofErr w:type="spellStart"/>
      <w:r w:rsidRPr="008E2D67">
        <w:rPr>
          <w:rFonts w:ascii="Calibri" w:hAnsi="Calibri"/>
          <w:lang w:val="es-DO"/>
        </w:rPr>
        <w:t>FOMISAR</w:t>
      </w:r>
      <w:proofErr w:type="spellEnd"/>
      <w:r w:rsidRPr="008E2D67">
        <w:rPr>
          <w:rFonts w:ascii="Calibri" w:hAnsi="Calibri"/>
          <w:lang w:val="es-DO"/>
        </w:rPr>
        <w:t xml:space="preserve"> en las siguientes partidas: </w:t>
      </w:r>
      <w:proofErr w:type="spellStart"/>
      <w:r w:rsidRPr="008E2D67">
        <w:rPr>
          <w:rFonts w:ascii="Calibri" w:hAnsi="Calibri"/>
          <w:lang w:val="es-DO"/>
        </w:rPr>
        <w:t>UTECO</w:t>
      </w:r>
      <w:proofErr w:type="spellEnd"/>
      <w:r w:rsidRPr="008E2D67">
        <w:rPr>
          <w:rFonts w:ascii="Calibri" w:hAnsi="Calibri"/>
          <w:lang w:val="es-DO"/>
        </w:rPr>
        <w:t xml:space="preserve">, Unidad Operativa, </w:t>
      </w:r>
      <w:r w:rsidR="001C4DEA">
        <w:rPr>
          <w:rFonts w:ascii="Calibri" w:hAnsi="Calibri"/>
          <w:lang w:val="es-DO"/>
        </w:rPr>
        <w:t>Cotuí</w:t>
      </w:r>
      <w:r w:rsidRPr="008E2D67">
        <w:rPr>
          <w:rFonts w:ascii="Calibri" w:hAnsi="Calibri"/>
          <w:lang w:val="es-DO"/>
        </w:rPr>
        <w:t xml:space="preserve">, los Demás Municipios de la provincia, Zambrana y Bonao; </w:t>
      </w:r>
      <w:r w:rsidRPr="008E2D67">
        <w:rPr>
          <w:rFonts w:ascii="Calibri" w:hAnsi="Calibri"/>
          <w:b/>
          <w:lang w:val="es-DO"/>
        </w:rPr>
        <w:t xml:space="preserve">se </w:t>
      </w:r>
      <w:r w:rsidR="001C4DEA">
        <w:rPr>
          <w:rFonts w:ascii="Calibri" w:hAnsi="Calibri"/>
          <w:b/>
          <w:lang w:val="es-DO"/>
        </w:rPr>
        <w:t>encontraron</w:t>
      </w:r>
      <w:r w:rsidRPr="008E2D67">
        <w:rPr>
          <w:rFonts w:ascii="Calibri" w:hAnsi="Calibri"/>
          <w:b/>
          <w:lang w:val="es-DO"/>
        </w:rPr>
        <w:t xml:space="preserve"> diferencias entre las ponderaciones de referencia derivadas de las disposiciones establecidas en el marco legal vigente</w:t>
      </w:r>
      <w:r w:rsidR="007C65A3">
        <w:rPr>
          <w:rFonts w:ascii="Calibri" w:hAnsi="Calibri"/>
          <w:b/>
          <w:lang w:val="es-DO"/>
        </w:rPr>
        <w:t>,</w:t>
      </w:r>
      <w:r w:rsidRPr="008E2D67">
        <w:rPr>
          <w:rFonts w:ascii="Calibri" w:hAnsi="Calibri"/>
          <w:b/>
          <w:lang w:val="es-DO"/>
        </w:rPr>
        <w:t xml:space="preserve"> y los porcentajes aplicados por el Consejo Provincial de </w:t>
      </w:r>
      <w:proofErr w:type="spellStart"/>
      <w:r w:rsidRPr="008E2D67">
        <w:rPr>
          <w:rFonts w:ascii="Calibri" w:hAnsi="Calibri"/>
          <w:b/>
          <w:lang w:val="es-DO"/>
        </w:rPr>
        <w:t>FOMISAR</w:t>
      </w:r>
      <w:proofErr w:type="spellEnd"/>
      <w:r w:rsidR="001C4DEA">
        <w:rPr>
          <w:rFonts w:ascii="Calibri" w:hAnsi="Calibri"/>
          <w:b/>
          <w:lang w:val="es-DO"/>
        </w:rPr>
        <w:t>.</w:t>
      </w:r>
    </w:p>
    <w:p w14:paraId="789E2E00" w14:textId="0DF39662" w:rsidR="009B7426" w:rsidRPr="008E2D67" w:rsidRDefault="009B7426" w:rsidP="0088484E">
      <w:pPr>
        <w:rPr>
          <w:rFonts w:ascii="Calibri" w:hAnsi="Calibri"/>
          <w:b/>
          <w:lang w:val="es-DO"/>
        </w:rPr>
      </w:pPr>
    </w:p>
    <w:p w14:paraId="760CA879" w14:textId="14DB5EB9" w:rsidR="00850F1A" w:rsidRPr="00850F1A" w:rsidRDefault="009B7426" w:rsidP="0088484E">
      <w:pPr>
        <w:pStyle w:val="Prrafodelista"/>
        <w:numPr>
          <w:ilvl w:val="1"/>
          <w:numId w:val="15"/>
        </w:numPr>
        <w:tabs>
          <w:tab w:val="left" w:pos="2751"/>
        </w:tabs>
        <w:spacing w:after="0" w:line="240" w:lineRule="auto"/>
        <w:jc w:val="both"/>
        <w:rPr>
          <w:rFonts w:ascii="Calibri" w:hAnsi="Calibri"/>
          <w:bCs/>
          <w:sz w:val="24"/>
          <w:szCs w:val="24"/>
          <w:lang w:val="es-DO"/>
        </w:rPr>
      </w:pPr>
      <w:r w:rsidRPr="00850F1A">
        <w:rPr>
          <w:rFonts w:ascii="Calibri" w:hAnsi="Calibri"/>
          <w:b/>
          <w:sz w:val="24"/>
          <w:szCs w:val="24"/>
          <w:lang w:val="es-DO"/>
        </w:rPr>
        <w:t xml:space="preserve">En </w:t>
      </w:r>
      <w:r w:rsidR="00A92FF3" w:rsidRPr="00850F1A">
        <w:rPr>
          <w:rFonts w:ascii="Calibri" w:hAnsi="Calibri"/>
          <w:b/>
          <w:sz w:val="24"/>
          <w:szCs w:val="24"/>
          <w:lang w:val="es-DO"/>
        </w:rPr>
        <w:t>e</w:t>
      </w:r>
      <w:r w:rsidRPr="00850F1A">
        <w:rPr>
          <w:rFonts w:ascii="Calibri" w:hAnsi="Calibri"/>
          <w:b/>
          <w:sz w:val="24"/>
          <w:szCs w:val="24"/>
          <w:lang w:val="es-DO"/>
        </w:rPr>
        <w:t xml:space="preserve">l caso de </w:t>
      </w:r>
      <w:proofErr w:type="spellStart"/>
      <w:r w:rsidRPr="00850F1A">
        <w:rPr>
          <w:rFonts w:ascii="Calibri" w:hAnsi="Calibri"/>
          <w:b/>
          <w:sz w:val="24"/>
          <w:szCs w:val="24"/>
          <w:lang w:val="es-DO"/>
        </w:rPr>
        <w:t>UTECO</w:t>
      </w:r>
      <w:proofErr w:type="spellEnd"/>
      <w:r w:rsidRPr="00850F1A">
        <w:rPr>
          <w:rFonts w:ascii="Calibri" w:hAnsi="Calibri"/>
          <w:bCs/>
          <w:sz w:val="24"/>
          <w:szCs w:val="24"/>
          <w:lang w:val="es-DO"/>
        </w:rPr>
        <w:t xml:space="preserve">, la asignación ejecutada por </w:t>
      </w:r>
      <w:proofErr w:type="spellStart"/>
      <w:r w:rsidRPr="00850F1A">
        <w:rPr>
          <w:rFonts w:ascii="Calibri" w:hAnsi="Calibri"/>
          <w:bCs/>
          <w:sz w:val="24"/>
          <w:szCs w:val="24"/>
          <w:lang w:val="es-DO"/>
        </w:rPr>
        <w:t>FOMISAR</w:t>
      </w:r>
      <w:proofErr w:type="spellEnd"/>
      <w:r w:rsidRPr="00850F1A">
        <w:rPr>
          <w:rFonts w:ascii="Calibri" w:hAnsi="Calibri"/>
          <w:bCs/>
          <w:sz w:val="24"/>
          <w:szCs w:val="24"/>
          <w:lang w:val="es-DO"/>
        </w:rPr>
        <w:t xml:space="preserve"> estuvo por debajo 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>de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>l monto</w:t>
      </w:r>
      <w:r w:rsidR="00AC6489">
        <w:rPr>
          <w:rFonts w:ascii="Calibri" w:hAnsi="Calibri"/>
          <w:bCs/>
          <w:sz w:val="24"/>
          <w:szCs w:val="24"/>
          <w:lang w:val="es-DO"/>
        </w:rPr>
        <w:t xml:space="preserve"> 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>de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 xml:space="preserve"> la</w:t>
      </w:r>
      <w:r w:rsidR="005E072A" w:rsidRPr="00850F1A">
        <w:rPr>
          <w:rFonts w:ascii="Calibri" w:hAnsi="Calibri"/>
          <w:bCs/>
          <w:sz w:val="24"/>
          <w:szCs w:val="24"/>
          <w:lang w:val="es-DO"/>
        </w:rPr>
        <w:t>s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 xml:space="preserve"> ponderaciones de referencia en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 xml:space="preserve"> RD</w:t>
      </w:r>
      <w:r w:rsidR="00C15444" w:rsidRPr="00850F1A">
        <w:rPr>
          <w:rFonts w:ascii="Calibri" w:hAnsi="Calibri"/>
          <w:bCs/>
          <w:sz w:val="24"/>
          <w:szCs w:val="24"/>
          <w:lang w:val="es-DO"/>
        </w:rPr>
        <w:t>$</w:t>
      </w:r>
      <w:r w:rsidR="00C15444">
        <w:rPr>
          <w:rFonts w:ascii="Calibri" w:hAnsi="Calibri"/>
          <w:bCs/>
          <w:sz w:val="24"/>
          <w:szCs w:val="24"/>
          <w:lang w:val="es-DO"/>
        </w:rPr>
        <w:t xml:space="preserve"> </w:t>
      </w:r>
      <w:r w:rsidR="00C15444" w:rsidRPr="00C15444">
        <w:rPr>
          <w:rFonts w:ascii="Calibri" w:hAnsi="Calibri"/>
          <w:color w:val="000000"/>
          <w:sz w:val="24"/>
          <w:szCs w:val="24"/>
          <w:lang w:val="es-DO"/>
        </w:rPr>
        <w:t>2,916,666.26</w:t>
      </w:r>
      <w:r w:rsidR="00C15444" w:rsidRPr="00850F1A">
        <w:rPr>
          <w:rFonts w:ascii="Calibri" w:hAnsi="Calibri"/>
          <w:bCs/>
          <w:sz w:val="24"/>
          <w:szCs w:val="24"/>
          <w:lang w:val="es-DO"/>
        </w:rPr>
        <w:t xml:space="preserve"> (</w:t>
      </w:r>
      <w:r w:rsidR="001D36E2">
        <w:rPr>
          <w:rFonts w:ascii="Calibri" w:hAnsi="Calibri"/>
          <w:bCs/>
          <w:sz w:val="24"/>
          <w:szCs w:val="24"/>
          <w:lang w:val="es-DO"/>
        </w:rPr>
        <w:t>22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>.</w:t>
      </w:r>
      <w:r w:rsidR="001D36E2">
        <w:rPr>
          <w:rFonts w:ascii="Calibri" w:hAnsi="Calibri"/>
          <w:bCs/>
          <w:sz w:val="24"/>
          <w:szCs w:val="24"/>
          <w:lang w:val="es-DO"/>
        </w:rPr>
        <w:t xml:space="preserve">44 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>%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>)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 xml:space="preserve"> </w:t>
      </w:r>
      <w:r w:rsidR="001C4DEA" w:rsidRPr="00850F1A">
        <w:rPr>
          <w:rFonts w:ascii="Calibri" w:hAnsi="Calibri"/>
          <w:bCs/>
          <w:sz w:val="24"/>
          <w:szCs w:val="24"/>
          <w:lang w:val="es-DO"/>
        </w:rPr>
        <w:t xml:space="preserve">en 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>20</w:t>
      </w:r>
      <w:r w:rsidR="00645904">
        <w:rPr>
          <w:rFonts w:ascii="Calibri" w:hAnsi="Calibri"/>
          <w:bCs/>
          <w:sz w:val="24"/>
          <w:szCs w:val="24"/>
          <w:lang w:val="es-DO"/>
        </w:rPr>
        <w:t>21</w:t>
      </w:r>
      <w:r w:rsidR="001C4DEA" w:rsidRPr="00850F1A">
        <w:rPr>
          <w:rFonts w:ascii="Calibri" w:hAnsi="Calibri"/>
          <w:bCs/>
          <w:sz w:val="24"/>
          <w:szCs w:val="24"/>
          <w:lang w:val="es-DO"/>
        </w:rPr>
        <w:t>,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 xml:space="preserve"> y </w:t>
      </w:r>
      <w:r w:rsidR="007F4BAD" w:rsidRPr="00850F1A">
        <w:rPr>
          <w:rFonts w:ascii="Calibri" w:hAnsi="Calibri"/>
          <w:bCs/>
          <w:sz w:val="24"/>
          <w:szCs w:val="24"/>
          <w:lang w:val="es-DO"/>
        </w:rPr>
        <w:t>en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 xml:space="preserve"> 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>RD</w:t>
      </w:r>
      <w:r w:rsidR="00850F1A" w:rsidRPr="001D36E2">
        <w:rPr>
          <w:rFonts w:ascii="Calibri" w:hAnsi="Calibri"/>
          <w:bCs/>
          <w:sz w:val="24"/>
          <w:szCs w:val="24"/>
          <w:lang w:val="es-DO"/>
        </w:rPr>
        <w:t xml:space="preserve">$ </w:t>
      </w:r>
      <w:r w:rsidR="001D36E2" w:rsidRPr="001D36E2">
        <w:rPr>
          <w:rFonts w:ascii="Calibri" w:hAnsi="Calibri"/>
          <w:color w:val="000000"/>
          <w:sz w:val="24"/>
          <w:szCs w:val="24"/>
          <w:lang w:val="es-DO"/>
        </w:rPr>
        <w:t>5,647,652.92</w:t>
      </w:r>
      <w:r w:rsidR="001D36E2">
        <w:rPr>
          <w:rFonts w:ascii="Calibri" w:hAnsi="Calibri"/>
          <w:color w:val="000000"/>
          <w:lang w:val="es-DO"/>
        </w:rPr>
        <w:t xml:space="preserve"> </w:t>
      </w:r>
      <w:r w:rsidR="001D36E2" w:rsidRPr="00850F1A">
        <w:rPr>
          <w:rFonts w:ascii="Calibri" w:hAnsi="Calibri"/>
          <w:bCs/>
          <w:sz w:val="24"/>
          <w:szCs w:val="24"/>
          <w:lang w:val="es-DO"/>
        </w:rPr>
        <w:t>(</w:t>
      </w:r>
      <w:r w:rsidR="001D36E2">
        <w:rPr>
          <w:rFonts w:ascii="Calibri" w:hAnsi="Calibri"/>
          <w:bCs/>
          <w:sz w:val="24"/>
          <w:szCs w:val="24"/>
          <w:lang w:val="es-DO"/>
        </w:rPr>
        <w:t>26</w:t>
      </w:r>
      <w:r w:rsidR="00D14B34" w:rsidRPr="00850F1A">
        <w:rPr>
          <w:rFonts w:ascii="Calibri" w:hAnsi="Calibri"/>
          <w:bCs/>
          <w:sz w:val="24"/>
          <w:szCs w:val="24"/>
          <w:lang w:val="es-DO"/>
        </w:rPr>
        <w:t>.8</w:t>
      </w:r>
      <w:r w:rsidR="001D36E2">
        <w:rPr>
          <w:rFonts w:ascii="Calibri" w:hAnsi="Calibri"/>
          <w:bCs/>
          <w:sz w:val="24"/>
          <w:szCs w:val="24"/>
          <w:lang w:val="es-DO"/>
        </w:rPr>
        <w:t xml:space="preserve">9 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>%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>)</w:t>
      </w:r>
      <w:r w:rsidR="001C4DEA" w:rsidRPr="00850F1A">
        <w:rPr>
          <w:rFonts w:ascii="Calibri" w:hAnsi="Calibri"/>
          <w:bCs/>
          <w:sz w:val="24"/>
          <w:szCs w:val="24"/>
          <w:lang w:val="es-DO"/>
        </w:rPr>
        <w:t xml:space="preserve"> en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 xml:space="preserve"> 202</w:t>
      </w:r>
      <w:r w:rsidR="00645904">
        <w:rPr>
          <w:rFonts w:ascii="Calibri" w:hAnsi="Calibri"/>
          <w:bCs/>
          <w:sz w:val="24"/>
          <w:szCs w:val="24"/>
          <w:lang w:val="es-DO"/>
        </w:rPr>
        <w:t>2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 xml:space="preserve">. </w:t>
      </w:r>
    </w:p>
    <w:p w14:paraId="6BDCB25F" w14:textId="77777777" w:rsidR="00850F1A" w:rsidRPr="00850F1A" w:rsidRDefault="00850F1A" w:rsidP="0088484E">
      <w:pPr>
        <w:pStyle w:val="Prrafodelista"/>
        <w:tabs>
          <w:tab w:val="left" w:pos="2751"/>
        </w:tabs>
        <w:spacing w:after="0" w:line="240" w:lineRule="auto"/>
        <w:ind w:left="1080"/>
        <w:jc w:val="both"/>
        <w:rPr>
          <w:rFonts w:ascii="Calibri" w:hAnsi="Calibri"/>
          <w:b/>
          <w:sz w:val="24"/>
          <w:szCs w:val="24"/>
          <w:lang w:val="es-DO"/>
        </w:rPr>
      </w:pPr>
    </w:p>
    <w:p w14:paraId="454D3AEE" w14:textId="3A3179D5" w:rsidR="00850F1A" w:rsidRDefault="00A92FF3" w:rsidP="0088484E">
      <w:pPr>
        <w:pStyle w:val="Prrafodelista"/>
        <w:numPr>
          <w:ilvl w:val="1"/>
          <w:numId w:val="15"/>
        </w:numPr>
        <w:tabs>
          <w:tab w:val="left" w:pos="2751"/>
        </w:tabs>
        <w:spacing w:after="0" w:line="240" w:lineRule="auto"/>
        <w:jc w:val="both"/>
        <w:rPr>
          <w:rFonts w:ascii="Calibri" w:hAnsi="Calibri"/>
          <w:b/>
          <w:sz w:val="24"/>
          <w:szCs w:val="24"/>
          <w:lang w:val="es-DO"/>
        </w:rPr>
      </w:pPr>
      <w:r w:rsidRPr="00850F1A">
        <w:rPr>
          <w:rFonts w:ascii="Calibri" w:hAnsi="Calibri"/>
          <w:b/>
          <w:sz w:val="24"/>
          <w:szCs w:val="24"/>
          <w:lang w:val="es-DO"/>
        </w:rPr>
        <w:t xml:space="preserve">En </w:t>
      </w:r>
      <w:r w:rsidR="00850F1A">
        <w:rPr>
          <w:rFonts w:ascii="Calibri" w:hAnsi="Calibri"/>
          <w:b/>
          <w:sz w:val="24"/>
          <w:szCs w:val="24"/>
          <w:lang w:val="es-DO"/>
        </w:rPr>
        <w:t xml:space="preserve">lo que respecta al municipio </w:t>
      </w:r>
      <w:r w:rsidRPr="00850F1A">
        <w:rPr>
          <w:rFonts w:ascii="Calibri" w:hAnsi="Calibri"/>
          <w:b/>
          <w:sz w:val="24"/>
          <w:szCs w:val="24"/>
          <w:lang w:val="es-DO"/>
        </w:rPr>
        <w:t>C</w:t>
      </w:r>
      <w:r w:rsidR="00850F1A">
        <w:rPr>
          <w:rFonts w:ascii="Calibri" w:hAnsi="Calibri"/>
          <w:b/>
          <w:sz w:val="24"/>
          <w:szCs w:val="24"/>
          <w:lang w:val="es-DO"/>
        </w:rPr>
        <w:t>otuí</w:t>
      </w:r>
      <w:r w:rsidRPr="00850F1A">
        <w:rPr>
          <w:rFonts w:ascii="Calibri" w:hAnsi="Calibri"/>
          <w:b/>
          <w:sz w:val="24"/>
          <w:szCs w:val="24"/>
          <w:lang w:val="es-DO"/>
        </w:rPr>
        <w:t xml:space="preserve">, 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>la</w:t>
      </w:r>
      <w:r w:rsidR="005E072A" w:rsidRPr="00850F1A">
        <w:rPr>
          <w:rFonts w:ascii="Calibri" w:hAnsi="Calibri"/>
          <w:bCs/>
          <w:sz w:val="24"/>
          <w:szCs w:val="24"/>
          <w:lang w:val="es-DO"/>
        </w:rPr>
        <w:t xml:space="preserve"> asignación</w:t>
      </w:r>
      <w:r w:rsidRPr="00850F1A">
        <w:rPr>
          <w:rFonts w:ascii="Calibri" w:hAnsi="Calibri"/>
          <w:bCs/>
          <w:sz w:val="24"/>
          <w:szCs w:val="24"/>
          <w:lang w:val="es-DO"/>
        </w:rPr>
        <w:t xml:space="preserve"> </w:t>
      </w:r>
      <w:r w:rsidR="00850F1A">
        <w:rPr>
          <w:rFonts w:ascii="Calibri" w:hAnsi="Calibri"/>
          <w:bCs/>
          <w:sz w:val="24"/>
          <w:szCs w:val="24"/>
          <w:lang w:val="es-DO"/>
        </w:rPr>
        <w:t xml:space="preserve">realizada por el Consejo Provincial </w:t>
      </w:r>
      <w:r w:rsidR="00A827F1">
        <w:rPr>
          <w:rFonts w:ascii="Calibri" w:hAnsi="Calibri"/>
          <w:bCs/>
          <w:sz w:val="24"/>
          <w:szCs w:val="24"/>
          <w:lang w:val="es-DO"/>
        </w:rPr>
        <w:t xml:space="preserve">en </w:t>
      </w:r>
      <w:r w:rsidR="001B0F8D">
        <w:rPr>
          <w:rFonts w:ascii="Calibri" w:hAnsi="Calibri"/>
          <w:bCs/>
          <w:sz w:val="24"/>
          <w:szCs w:val="24"/>
          <w:lang w:val="es-DO"/>
        </w:rPr>
        <w:t xml:space="preserve">2021 </w:t>
      </w:r>
      <w:r w:rsidR="001B0F8D" w:rsidRPr="00850F1A">
        <w:rPr>
          <w:rFonts w:ascii="Calibri" w:hAnsi="Calibri"/>
          <w:bCs/>
          <w:sz w:val="24"/>
          <w:szCs w:val="24"/>
          <w:lang w:val="es-DO"/>
        </w:rPr>
        <w:t>estuvo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 xml:space="preserve"> por </w:t>
      </w:r>
      <w:r w:rsidR="001B0F8D">
        <w:rPr>
          <w:rFonts w:ascii="Calibri" w:hAnsi="Calibri"/>
          <w:bCs/>
          <w:sz w:val="24"/>
          <w:szCs w:val="24"/>
          <w:lang w:val="es-DO"/>
        </w:rPr>
        <w:t>encima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 xml:space="preserve"> del monto de las ponderaciones de referencia. En este caso, una </w:t>
      </w:r>
      <w:r w:rsidR="00AC6489">
        <w:rPr>
          <w:rFonts w:ascii="Calibri" w:hAnsi="Calibri"/>
          <w:bCs/>
          <w:sz w:val="24"/>
          <w:szCs w:val="24"/>
          <w:lang w:val="es-DO"/>
        </w:rPr>
        <w:t xml:space="preserve">desviación </w:t>
      </w:r>
      <w:r w:rsidR="001B0F8D">
        <w:rPr>
          <w:rFonts w:ascii="Calibri" w:hAnsi="Calibri"/>
          <w:bCs/>
          <w:sz w:val="24"/>
          <w:szCs w:val="24"/>
          <w:lang w:val="es-DO"/>
        </w:rPr>
        <w:t>positiva</w:t>
      </w:r>
      <w:r w:rsidR="00AC6489">
        <w:rPr>
          <w:rFonts w:ascii="Calibri" w:hAnsi="Calibri"/>
          <w:bCs/>
          <w:sz w:val="24"/>
          <w:szCs w:val="24"/>
          <w:lang w:val="es-DO"/>
        </w:rPr>
        <w:t xml:space="preserve"> ascendente a 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>RD</w:t>
      </w:r>
      <w:r w:rsidR="00850F1A" w:rsidRPr="001B0F8D">
        <w:rPr>
          <w:rFonts w:ascii="Calibri" w:hAnsi="Calibri"/>
          <w:bCs/>
          <w:sz w:val="24"/>
          <w:szCs w:val="24"/>
          <w:lang w:val="es-DO"/>
        </w:rPr>
        <w:t xml:space="preserve">$ </w:t>
      </w:r>
      <w:r w:rsidR="001B0F8D" w:rsidRPr="001B0F8D">
        <w:rPr>
          <w:rFonts w:ascii="Calibri" w:hAnsi="Calibri"/>
          <w:color w:val="000000"/>
          <w:sz w:val="24"/>
          <w:szCs w:val="24"/>
          <w:lang w:val="es-DO"/>
        </w:rPr>
        <w:t>1,166,666.50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 xml:space="preserve">, equivalente a </w:t>
      </w:r>
      <w:r w:rsidRPr="00850F1A">
        <w:rPr>
          <w:rFonts w:ascii="Calibri" w:hAnsi="Calibri"/>
          <w:bCs/>
          <w:sz w:val="24"/>
          <w:szCs w:val="24"/>
          <w:lang w:val="es-DO"/>
        </w:rPr>
        <w:t>1.</w:t>
      </w:r>
      <w:r w:rsidR="001B0F8D">
        <w:rPr>
          <w:rFonts w:ascii="Calibri" w:hAnsi="Calibri"/>
          <w:bCs/>
          <w:sz w:val="24"/>
          <w:szCs w:val="24"/>
          <w:lang w:val="es-DO"/>
        </w:rPr>
        <w:t xml:space="preserve">71 </w:t>
      </w:r>
      <w:r w:rsidRPr="00850F1A">
        <w:rPr>
          <w:rFonts w:ascii="Calibri" w:hAnsi="Calibri"/>
          <w:bCs/>
          <w:sz w:val="24"/>
          <w:szCs w:val="24"/>
          <w:lang w:val="es-DO"/>
        </w:rPr>
        <w:t>%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 xml:space="preserve">. </w:t>
      </w:r>
      <w:r w:rsidR="00850F1A">
        <w:rPr>
          <w:rFonts w:ascii="Calibri" w:hAnsi="Calibri"/>
          <w:bCs/>
          <w:sz w:val="24"/>
          <w:szCs w:val="24"/>
          <w:lang w:val="es-DO"/>
        </w:rPr>
        <w:t>E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>n 202</w:t>
      </w:r>
      <w:r w:rsidR="001B0F8D">
        <w:rPr>
          <w:rFonts w:ascii="Calibri" w:hAnsi="Calibri"/>
          <w:bCs/>
          <w:sz w:val="24"/>
          <w:szCs w:val="24"/>
          <w:lang w:val="es-DO"/>
        </w:rPr>
        <w:t>2</w:t>
      </w:r>
      <w:r w:rsidR="00850F1A">
        <w:rPr>
          <w:rFonts w:ascii="Calibri" w:hAnsi="Calibri"/>
          <w:bCs/>
          <w:sz w:val="24"/>
          <w:szCs w:val="24"/>
          <w:lang w:val="es-DO"/>
        </w:rPr>
        <w:t xml:space="preserve">, </w:t>
      </w:r>
      <w:r w:rsidR="001B0F8D">
        <w:rPr>
          <w:rFonts w:ascii="Calibri" w:hAnsi="Calibri"/>
          <w:bCs/>
          <w:sz w:val="24"/>
          <w:szCs w:val="24"/>
          <w:lang w:val="es-DO"/>
        </w:rPr>
        <w:t>también</w:t>
      </w:r>
      <w:r w:rsidR="00850F1A">
        <w:rPr>
          <w:rFonts w:ascii="Calibri" w:hAnsi="Calibri"/>
          <w:bCs/>
          <w:sz w:val="24"/>
          <w:szCs w:val="24"/>
          <w:lang w:val="es-DO"/>
        </w:rPr>
        <w:t>,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 xml:space="preserve"> se obtiene una diferencia positiva de </w:t>
      </w:r>
      <w:r w:rsidR="001B0F8D">
        <w:rPr>
          <w:rFonts w:ascii="Calibri" w:hAnsi="Calibri"/>
          <w:bCs/>
          <w:sz w:val="24"/>
          <w:szCs w:val="24"/>
          <w:lang w:val="es-DO"/>
        </w:rPr>
        <w:t>mayor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 xml:space="preserve"> nivel, ascendente a RD</w:t>
      </w:r>
      <w:r w:rsidR="001B0F8D" w:rsidRPr="001B0F8D">
        <w:rPr>
          <w:rFonts w:ascii="Calibri" w:hAnsi="Calibri"/>
          <w:bCs/>
          <w:sz w:val="24"/>
          <w:szCs w:val="24"/>
          <w:lang w:val="es-DO"/>
        </w:rPr>
        <w:t>$ 2,259,061.16</w:t>
      </w:r>
      <w:r w:rsidR="001B0F8D">
        <w:rPr>
          <w:rFonts w:ascii="Calibri" w:hAnsi="Calibri"/>
          <w:color w:val="000000"/>
          <w:lang w:val="es-DO"/>
        </w:rPr>
        <w:t xml:space="preserve"> </w:t>
      </w:r>
      <w:r w:rsidR="001B0F8D">
        <w:rPr>
          <w:rFonts w:ascii="Calibri" w:hAnsi="Calibri"/>
          <w:bCs/>
          <w:sz w:val="24"/>
          <w:szCs w:val="24"/>
          <w:lang w:val="es-DO"/>
        </w:rPr>
        <w:t>(2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>.1</w:t>
      </w:r>
      <w:r w:rsidR="001B0F8D">
        <w:rPr>
          <w:rFonts w:ascii="Calibri" w:hAnsi="Calibri"/>
          <w:bCs/>
          <w:sz w:val="24"/>
          <w:szCs w:val="24"/>
          <w:lang w:val="es-DO"/>
        </w:rPr>
        <w:t xml:space="preserve">9 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>%).</w:t>
      </w:r>
      <w:r w:rsidR="00850F1A">
        <w:rPr>
          <w:rFonts w:ascii="Calibri" w:hAnsi="Calibri"/>
          <w:b/>
          <w:sz w:val="24"/>
          <w:szCs w:val="24"/>
          <w:lang w:val="es-DO"/>
        </w:rPr>
        <w:t xml:space="preserve"> </w:t>
      </w:r>
    </w:p>
    <w:p w14:paraId="3EDA9E8B" w14:textId="77777777" w:rsidR="00850F1A" w:rsidRPr="00850F1A" w:rsidRDefault="00850F1A" w:rsidP="0088484E">
      <w:pPr>
        <w:pStyle w:val="Prrafodelista"/>
        <w:spacing w:after="0" w:line="240" w:lineRule="auto"/>
        <w:rPr>
          <w:rFonts w:ascii="Calibri" w:hAnsi="Calibri"/>
          <w:b/>
          <w:lang w:val="es-DO"/>
        </w:rPr>
      </w:pPr>
    </w:p>
    <w:p w14:paraId="105554B9" w14:textId="044AF545" w:rsidR="00AC6489" w:rsidRPr="00AC6489" w:rsidRDefault="00AC6489" w:rsidP="0088484E">
      <w:pPr>
        <w:pStyle w:val="Prrafodelista"/>
        <w:numPr>
          <w:ilvl w:val="1"/>
          <w:numId w:val="15"/>
        </w:numPr>
        <w:tabs>
          <w:tab w:val="left" w:pos="2751"/>
        </w:tabs>
        <w:spacing w:after="0" w:line="240" w:lineRule="auto"/>
        <w:jc w:val="both"/>
        <w:rPr>
          <w:rFonts w:ascii="Calibri" w:hAnsi="Calibri"/>
          <w:b/>
          <w:sz w:val="24"/>
          <w:szCs w:val="24"/>
          <w:lang w:val="es-DO"/>
        </w:rPr>
      </w:pPr>
      <w:r w:rsidRPr="00AC6489">
        <w:rPr>
          <w:rFonts w:ascii="Calibri" w:hAnsi="Calibri"/>
          <w:bCs/>
          <w:sz w:val="24"/>
          <w:szCs w:val="24"/>
          <w:lang w:val="es-DO"/>
        </w:rPr>
        <w:t>Tanto en 20</w:t>
      </w:r>
      <w:r w:rsidR="001B0F8D">
        <w:rPr>
          <w:rFonts w:ascii="Calibri" w:hAnsi="Calibri"/>
          <w:bCs/>
          <w:sz w:val="24"/>
          <w:szCs w:val="24"/>
          <w:lang w:val="es-DO"/>
        </w:rPr>
        <w:t>21</w:t>
      </w:r>
      <w:r w:rsidRPr="00AC6489">
        <w:rPr>
          <w:rFonts w:ascii="Calibri" w:hAnsi="Calibri"/>
          <w:bCs/>
          <w:sz w:val="24"/>
          <w:szCs w:val="24"/>
          <w:lang w:val="es-DO"/>
        </w:rPr>
        <w:t xml:space="preserve"> como en 202</w:t>
      </w:r>
      <w:r w:rsidR="001B0F8D">
        <w:rPr>
          <w:rFonts w:ascii="Calibri" w:hAnsi="Calibri"/>
          <w:bCs/>
          <w:sz w:val="24"/>
          <w:szCs w:val="24"/>
          <w:lang w:val="es-DO"/>
        </w:rPr>
        <w:t>2</w:t>
      </w:r>
      <w:r w:rsidRPr="00AC6489">
        <w:rPr>
          <w:rFonts w:ascii="Calibri" w:hAnsi="Calibri"/>
          <w:bCs/>
          <w:sz w:val="24"/>
          <w:szCs w:val="24"/>
          <w:lang w:val="es-DO"/>
        </w:rPr>
        <w:t>,</w:t>
      </w:r>
      <w:r>
        <w:rPr>
          <w:rFonts w:ascii="Calibri" w:hAnsi="Calibri"/>
          <w:b/>
          <w:sz w:val="24"/>
          <w:szCs w:val="24"/>
          <w:lang w:val="es-DO"/>
        </w:rPr>
        <w:t xml:space="preserve"> l</w:t>
      </w:r>
      <w:r w:rsidR="00A92FF3" w:rsidRPr="00850F1A">
        <w:rPr>
          <w:rFonts w:ascii="Calibri" w:hAnsi="Calibri"/>
          <w:b/>
          <w:sz w:val="24"/>
          <w:szCs w:val="24"/>
          <w:lang w:val="es-DO"/>
        </w:rPr>
        <w:t xml:space="preserve">os demás municipios de Sánchez Ramírez 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>registraron una asignación superior</w:t>
      </w:r>
      <w:r w:rsidR="00E9155E" w:rsidRPr="00850F1A">
        <w:rPr>
          <w:rFonts w:ascii="Calibri" w:hAnsi="Calibri"/>
          <w:bCs/>
          <w:sz w:val="24"/>
          <w:szCs w:val="24"/>
          <w:lang w:val="es-DO"/>
        </w:rPr>
        <w:t xml:space="preserve"> a las ponderaciones de referencia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 xml:space="preserve">, </w:t>
      </w:r>
      <w:r w:rsidR="00E9155E" w:rsidRPr="00850F1A">
        <w:rPr>
          <w:rFonts w:ascii="Calibri" w:hAnsi="Calibri"/>
          <w:bCs/>
          <w:sz w:val="24"/>
          <w:szCs w:val="24"/>
          <w:lang w:val="es-DO"/>
        </w:rPr>
        <w:t>particularmente en un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 xml:space="preserve"> 1</w:t>
      </w:r>
      <w:r w:rsidR="001B0F8D">
        <w:rPr>
          <w:rFonts w:ascii="Calibri" w:hAnsi="Calibri"/>
          <w:bCs/>
          <w:sz w:val="24"/>
          <w:szCs w:val="24"/>
          <w:lang w:val="es-DO"/>
        </w:rPr>
        <w:t xml:space="preserve">.71 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>%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 xml:space="preserve"> (o RD</w:t>
      </w:r>
      <w:r w:rsidR="001B0F8D" w:rsidRPr="00850F1A">
        <w:rPr>
          <w:rFonts w:ascii="Calibri" w:hAnsi="Calibri"/>
          <w:bCs/>
          <w:sz w:val="24"/>
          <w:szCs w:val="24"/>
          <w:lang w:val="es-DO"/>
        </w:rPr>
        <w:t>$</w:t>
      </w:r>
      <w:r w:rsidR="001B0F8D">
        <w:rPr>
          <w:rFonts w:ascii="Calibri" w:hAnsi="Calibri"/>
          <w:bCs/>
          <w:sz w:val="24"/>
          <w:szCs w:val="24"/>
          <w:lang w:val="es-DO"/>
        </w:rPr>
        <w:t xml:space="preserve"> </w:t>
      </w:r>
      <w:r w:rsidR="001B0F8D" w:rsidRPr="001B0F8D">
        <w:rPr>
          <w:rFonts w:ascii="Calibri" w:hAnsi="Calibri"/>
          <w:color w:val="000000"/>
          <w:sz w:val="24"/>
          <w:szCs w:val="24"/>
          <w:lang w:val="es-DO"/>
        </w:rPr>
        <w:t>1,166,666.50</w:t>
      </w:r>
      <w:r w:rsidR="001B0F8D" w:rsidRPr="00850F1A">
        <w:rPr>
          <w:rFonts w:ascii="Calibri" w:hAnsi="Calibri"/>
          <w:bCs/>
          <w:sz w:val="24"/>
          <w:szCs w:val="24"/>
          <w:lang w:val="es-DO"/>
        </w:rPr>
        <w:t>)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 xml:space="preserve"> en 20</w:t>
      </w:r>
      <w:r w:rsidR="001B0F8D">
        <w:rPr>
          <w:rFonts w:ascii="Calibri" w:hAnsi="Calibri"/>
          <w:bCs/>
          <w:sz w:val="24"/>
          <w:szCs w:val="24"/>
          <w:lang w:val="es-DO"/>
        </w:rPr>
        <w:t>21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>,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 xml:space="preserve"> y</w:t>
      </w:r>
      <w:r w:rsidR="00E9155E" w:rsidRPr="00850F1A">
        <w:rPr>
          <w:rFonts w:ascii="Calibri" w:hAnsi="Calibri"/>
          <w:bCs/>
          <w:sz w:val="24"/>
          <w:szCs w:val="24"/>
          <w:lang w:val="es-DO"/>
        </w:rPr>
        <w:t xml:space="preserve"> en un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 xml:space="preserve"> </w:t>
      </w:r>
      <w:r w:rsidR="001B0F8D">
        <w:rPr>
          <w:rFonts w:ascii="Calibri" w:hAnsi="Calibri"/>
          <w:bCs/>
          <w:sz w:val="24"/>
          <w:szCs w:val="24"/>
          <w:lang w:val="es-DO"/>
        </w:rPr>
        <w:t>2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>.1</w:t>
      </w:r>
      <w:r w:rsidR="001B0F8D">
        <w:rPr>
          <w:rFonts w:ascii="Calibri" w:hAnsi="Calibri"/>
          <w:bCs/>
          <w:sz w:val="24"/>
          <w:szCs w:val="24"/>
          <w:lang w:val="es-DO"/>
        </w:rPr>
        <w:t xml:space="preserve">9 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 xml:space="preserve">% 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>(o RD$</w:t>
      </w:r>
      <w:r w:rsidR="001B0F8D">
        <w:rPr>
          <w:rFonts w:ascii="Calibri" w:hAnsi="Calibri"/>
          <w:bCs/>
          <w:sz w:val="24"/>
          <w:szCs w:val="24"/>
          <w:lang w:val="es-DO"/>
        </w:rPr>
        <w:t xml:space="preserve"> </w:t>
      </w:r>
      <w:r w:rsidR="001B0F8D" w:rsidRPr="001B0F8D">
        <w:rPr>
          <w:rFonts w:ascii="Calibri" w:hAnsi="Calibri"/>
          <w:bCs/>
          <w:sz w:val="24"/>
          <w:szCs w:val="24"/>
          <w:lang w:val="es-DO"/>
        </w:rPr>
        <w:t>2,259,061.16</w:t>
      </w:r>
      <w:r w:rsidR="001B0F8D">
        <w:rPr>
          <w:rFonts w:ascii="Calibri" w:hAnsi="Calibri"/>
          <w:color w:val="000000"/>
          <w:lang w:val="es-DO"/>
        </w:rPr>
        <w:t>)</w:t>
      </w:r>
      <w:r w:rsidR="00850F1A" w:rsidRPr="00850F1A">
        <w:rPr>
          <w:rFonts w:ascii="Calibri" w:hAnsi="Calibri"/>
          <w:bCs/>
          <w:sz w:val="24"/>
          <w:szCs w:val="24"/>
          <w:lang w:val="es-DO"/>
        </w:rPr>
        <w:t xml:space="preserve"> 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>en 202</w:t>
      </w:r>
      <w:r w:rsidR="001B0F8D">
        <w:rPr>
          <w:rFonts w:ascii="Calibri" w:hAnsi="Calibri"/>
          <w:bCs/>
          <w:sz w:val="24"/>
          <w:szCs w:val="24"/>
          <w:lang w:val="es-DO"/>
        </w:rPr>
        <w:t>2</w:t>
      </w:r>
      <w:r w:rsidR="00A92FF3" w:rsidRPr="00850F1A">
        <w:rPr>
          <w:rFonts w:ascii="Calibri" w:hAnsi="Calibri"/>
          <w:bCs/>
          <w:sz w:val="24"/>
          <w:szCs w:val="24"/>
          <w:lang w:val="es-DO"/>
        </w:rPr>
        <w:t>.</w:t>
      </w:r>
    </w:p>
    <w:p w14:paraId="349FE8F7" w14:textId="77777777" w:rsidR="00AC6489" w:rsidRPr="00AC6489" w:rsidRDefault="00AC6489" w:rsidP="0088484E">
      <w:pPr>
        <w:pStyle w:val="Prrafodelista"/>
        <w:spacing w:after="0" w:line="240" w:lineRule="auto"/>
        <w:rPr>
          <w:rFonts w:ascii="Calibri" w:hAnsi="Calibri"/>
          <w:b/>
          <w:lang w:val="es-DO"/>
        </w:rPr>
      </w:pPr>
    </w:p>
    <w:p w14:paraId="2C6E49C6" w14:textId="716B03E6" w:rsidR="009B7426" w:rsidRPr="0088484E" w:rsidRDefault="00A92FF3" w:rsidP="0088484E">
      <w:pPr>
        <w:pStyle w:val="Prrafodelista"/>
        <w:numPr>
          <w:ilvl w:val="1"/>
          <w:numId w:val="15"/>
        </w:numPr>
        <w:tabs>
          <w:tab w:val="left" w:pos="2751"/>
        </w:tabs>
        <w:spacing w:after="0" w:line="240" w:lineRule="auto"/>
        <w:jc w:val="both"/>
        <w:rPr>
          <w:rFonts w:ascii="Calibri" w:hAnsi="Calibri"/>
          <w:b/>
          <w:sz w:val="24"/>
          <w:szCs w:val="24"/>
          <w:lang w:val="es-DO"/>
        </w:rPr>
      </w:pPr>
      <w:r w:rsidRPr="00AC6489">
        <w:rPr>
          <w:rFonts w:ascii="Calibri" w:hAnsi="Calibri"/>
          <w:b/>
          <w:sz w:val="24"/>
          <w:szCs w:val="24"/>
          <w:lang w:val="es-DO"/>
        </w:rPr>
        <w:t xml:space="preserve">Zambrana y Bonao </w:t>
      </w:r>
      <w:r w:rsidR="00A827F1">
        <w:rPr>
          <w:rFonts w:ascii="Calibri" w:hAnsi="Calibri"/>
          <w:bCs/>
          <w:sz w:val="24"/>
          <w:szCs w:val="24"/>
          <w:lang w:val="es-DO"/>
        </w:rPr>
        <w:t xml:space="preserve">también </w:t>
      </w:r>
      <w:r w:rsidRPr="00AC6489">
        <w:rPr>
          <w:rFonts w:ascii="Calibri" w:hAnsi="Calibri"/>
          <w:bCs/>
          <w:sz w:val="24"/>
          <w:szCs w:val="24"/>
          <w:lang w:val="es-DO"/>
        </w:rPr>
        <w:t>recibieron asignaciones superiores</w:t>
      </w:r>
      <w:r w:rsidR="00AC6489">
        <w:rPr>
          <w:rFonts w:ascii="Calibri" w:hAnsi="Calibri"/>
          <w:bCs/>
          <w:sz w:val="24"/>
          <w:szCs w:val="24"/>
          <w:lang w:val="es-DO"/>
        </w:rPr>
        <w:t xml:space="preserve"> en un</w:t>
      </w:r>
      <w:r w:rsidRPr="00AC6489">
        <w:rPr>
          <w:rFonts w:ascii="Calibri" w:hAnsi="Calibri"/>
          <w:bCs/>
          <w:sz w:val="24"/>
          <w:szCs w:val="24"/>
          <w:lang w:val="es-DO"/>
        </w:rPr>
        <w:t xml:space="preserve"> </w:t>
      </w:r>
      <w:r w:rsidR="00F4488C">
        <w:rPr>
          <w:rFonts w:ascii="Calibri" w:hAnsi="Calibri"/>
          <w:bCs/>
          <w:sz w:val="24"/>
          <w:szCs w:val="24"/>
          <w:lang w:val="es-DO"/>
        </w:rPr>
        <w:t>1</w:t>
      </w:r>
      <w:r w:rsidRPr="00AC6489">
        <w:rPr>
          <w:rFonts w:ascii="Calibri" w:hAnsi="Calibri"/>
          <w:bCs/>
          <w:sz w:val="24"/>
          <w:szCs w:val="24"/>
          <w:lang w:val="es-DO"/>
        </w:rPr>
        <w:t>.</w:t>
      </w:r>
      <w:r w:rsidR="00F4488C">
        <w:rPr>
          <w:rFonts w:ascii="Calibri" w:hAnsi="Calibri"/>
          <w:bCs/>
          <w:sz w:val="24"/>
          <w:szCs w:val="24"/>
          <w:lang w:val="es-DO"/>
        </w:rPr>
        <w:t>6</w:t>
      </w:r>
      <w:r w:rsidRPr="00AC6489">
        <w:rPr>
          <w:rFonts w:ascii="Calibri" w:hAnsi="Calibri"/>
          <w:bCs/>
          <w:sz w:val="24"/>
          <w:szCs w:val="24"/>
          <w:lang w:val="es-DO"/>
        </w:rPr>
        <w:t xml:space="preserve">8% </w:t>
      </w:r>
      <w:r w:rsidR="00AC6489">
        <w:rPr>
          <w:rFonts w:ascii="Calibri" w:hAnsi="Calibri"/>
          <w:bCs/>
          <w:sz w:val="24"/>
          <w:szCs w:val="24"/>
          <w:lang w:val="es-DO"/>
        </w:rPr>
        <w:t xml:space="preserve">(RD$ </w:t>
      </w:r>
      <w:r w:rsidR="00F4488C" w:rsidRPr="00F4488C">
        <w:rPr>
          <w:rFonts w:ascii="Calibri" w:hAnsi="Calibri"/>
          <w:color w:val="000000"/>
          <w:sz w:val="24"/>
          <w:szCs w:val="24"/>
          <w:lang w:val="es-DO"/>
        </w:rPr>
        <w:t>583,333.25</w:t>
      </w:r>
      <w:r w:rsidR="00AC6489" w:rsidRPr="00F4488C">
        <w:rPr>
          <w:rFonts w:ascii="Calibri" w:hAnsi="Calibri"/>
          <w:bCs/>
          <w:sz w:val="24"/>
          <w:szCs w:val="24"/>
          <w:lang w:val="es-DO"/>
        </w:rPr>
        <w:t>)</w:t>
      </w:r>
      <w:r w:rsidR="00AC6489">
        <w:rPr>
          <w:rFonts w:ascii="Calibri" w:hAnsi="Calibri"/>
          <w:bCs/>
          <w:sz w:val="24"/>
          <w:szCs w:val="24"/>
          <w:lang w:val="es-DO"/>
        </w:rPr>
        <w:t xml:space="preserve"> </w:t>
      </w:r>
      <w:r w:rsidRPr="00AC6489">
        <w:rPr>
          <w:rFonts w:ascii="Calibri" w:hAnsi="Calibri"/>
          <w:bCs/>
          <w:sz w:val="24"/>
          <w:szCs w:val="24"/>
          <w:lang w:val="es-DO"/>
        </w:rPr>
        <w:t>en 20</w:t>
      </w:r>
      <w:r w:rsidR="00F4488C">
        <w:rPr>
          <w:rFonts w:ascii="Calibri" w:hAnsi="Calibri"/>
          <w:bCs/>
          <w:sz w:val="24"/>
          <w:szCs w:val="24"/>
          <w:lang w:val="es-DO"/>
        </w:rPr>
        <w:t>21</w:t>
      </w:r>
      <w:r w:rsidR="00AC6489">
        <w:rPr>
          <w:rFonts w:ascii="Calibri" w:hAnsi="Calibri"/>
          <w:bCs/>
          <w:sz w:val="24"/>
          <w:szCs w:val="24"/>
          <w:lang w:val="es-DO"/>
        </w:rPr>
        <w:t>,</w:t>
      </w:r>
      <w:r w:rsidRPr="00AC6489">
        <w:rPr>
          <w:rFonts w:ascii="Calibri" w:hAnsi="Calibri"/>
          <w:bCs/>
          <w:sz w:val="24"/>
          <w:szCs w:val="24"/>
          <w:lang w:val="es-DO"/>
        </w:rPr>
        <w:t xml:space="preserve"> y </w:t>
      </w:r>
      <w:r w:rsidR="00AC6489">
        <w:rPr>
          <w:rFonts w:ascii="Calibri" w:hAnsi="Calibri"/>
          <w:bCs/>
          <w:sz w:val="24"/>
          <w:szCs w:val="24"/>
          <w:lang w:val="es-DO"/>
        </w:rPr>
        <w:t>en un</w:t>
      </w:r>
      <w:r w:rsidRPr="00AC6489">
        <w:rPr>
          <w:rFonts w:ascii="Calibri" w:hAnsi="Calibri"/>
          <w:bCs/>
          <w:sz w:val="24"/>
          <w:szCs w:val="24"/>
          <w:lang w:val="es-DO"/>
        </w:rPr>
        <w:t xml:space="preserve"> </w:t>
      </w:r>
      <w:r w:rsidR="00F4488C">
        <w:rPr>
          <w:rFonts w:ascii="Calibri" w:hAnsi="Calibri"/>
          <w:bCs/>
          <w:sz w:val="24"/>
          <w:szCs w:val="24"/>
          <w:lang w:val="es-DO"/>
        </w:rPr>
        <w:t>2</w:t>
      </w:r>
      <w:r w:rsidRPr="00AC6489">
        <w:rPr>
          <w:rFonts w:ascii="Calibri" w:hAnsi="Calibri"/>
          <w:bCs/>
          <w:sz w:val="24"/>
          <w:szCs w:val="24"/>
          <w:lang w:val="es-DO"/>
        </w:rPr>
        <w:t>.1</w:t>
      </w:r>
      <w:r w:rsidR="00F4488C">
        <w:rPr>
          <w:rFonts w:ascii="Calibri" w:hAnsi="Calibri"/>
          <w:bCs/>
          <w:sz w:val="24"/>
          <w:szCs w:val="24"/>
          <w:lang w:val="es-DO"/>
        </w:rPr>
        <w:t xml:space="preserve">6 </w:t>
      </w:r>
      <w:r w:rsidRPr="00AC6489">
        <w:rPr>
          <w:rFonts w:ascii="Calibri" w:hAnsi="Calibri"/>
          <w:bCs/>
          <w:sz w:val="24"/>
          <w:szCs w:val="24"/>
          <w:lang w:val="es-DO"/>
        </w:rPr>
        <w:t>%</w:t>
      </w:r>
      <w:r w:rsidR="00AC6489">
        <w:rPr>
          <w:rFonts w:ascii="Calibri" w:hAnsi="Calibri"/>
          <w:bCs/>
          <w:sz w:val="24"/>
          <w:szCs w:val="24"/>
          <w:lang w:val="es-DO"/>
        </w:rPr>
        <w:t xml:space="preserve"> (RD$</w:t>
      </w:r>
      <w:r w:rsidR="00F4488C">
        <w:rPr>
          <w:rFonts w:ascii="Calibri" w:hAnsi="Calibri"/>
          <w:bCs/>
          <w:sz w:val="24"/>
          <w:szCs w:val="24"/>
          <w:lang w:val="es-DO"/>
        </w:rPr>
        <w:t xml:space="preserve"> </w:t>
      </w:r>
      <w:r w:rsidR="00F4488C" w:rsidRPr="00F4488C">
        <w:rPr>
          <w:rFonts w:ascii="Calibri" w:hAnsi="Calibri"/>
          <w:color w:val="000000"/>
          <w:sz w:val="24"/>
          <w:szCs w:val="24"/>
          <w:lang w:val="es-DO"/>
        </w:rPr>
        <w:t>1,129,530.58</w:t>
      </w:r>
      <w:r w:rsidR="00AC6489">
        <w:rPr>
          <w:rFonts w:ascii="Calibri" w:hAnsi="Calibri"/>
          <w:bCs/>
          <w:sz w:val="24"/>
          <w:szCs w:val="24"/>
          <w:lang w:val="es-DO"/>
        </w:rPr>
        <w:t xml:space="preserve">) </w:t>
      </w:r>
      <w:r w:rsidRPr="00AC6489">
        <w:rPr>
          <w:rFonts w:ascii="Calibri" w:hAnsi="Calibri"/>
          <w:bCs/>
          <w:sz w:val="24"/>
          <w:szCs w:val="24"/>
          <w:lang w:val="es-DO"/>
        </w:rPr>
        <w:t>en 202</w:t>
      </w:r>
      <w:r w:rsidR="00F4488C">
        <w:rPr>
          <w:rFonts w:ascii="Calibri" w:hAnsi="Calibri"/>
          <w:bCs/>
          <w:sz w:val="24"/>
          <w:szCs w:val="24"/>
          <w:lang w:val="es-DO"/>
        </w:rPr>
        <w:t>2</w:t>
      </w:r>
      <w:r w:rsidR="0052132D" w:rsidRPr="00AC6489">
        <w:rPr>
          <w:rFonts w:ascii="Calibri" w:hAnsi="Calibri"/>
          <w:bCs/>
          <w:sz w:val="24"/>
          <w:szCs w:val="24"/>
          <w:lang w:val="es-DO"/>
        </w:rPr>
        <w:t>, respecto de</w:t>
      </w:r>
      <w:r w:rsidR="00AC6489" w:rsidRPr="00AC6489">
        <w:rPr>
          <w:rFonts w:ascii="Calibri" w:hAnsi="Calibri"/>
          <w:bCs/>
          <w:sz w:val="24"/>
          <w:szCs w:val="24"/>
          <w:lang w:val="es-DO"/>
        </w:rPr>
        <w:t>l monto calculado a partir de</w:t>
      </w:r>
      <w:r w:rsidR="0052132D" w:rsidRPr="00AC6489">
        <w:rPr>
          <w:rFonts w:ascii="Calibri" w:hAnsi="Calibri"/>
          <w:bCs/>
          <w:sz w:val="24"/>
          <w:szCs w:val="24"/>
          <w:lang w:val="es-DO"/>
        </w:rPr>
        <w:t xml:space="preserve"> las ponderaciones de referencia.</w:t>
      </w:r>
    </w:p>
    <w:p w14:paraId="64AF4136" w14:textId="77777777" w:rsidR="0088484E" w:rsidRPr="0088484E" w:rsidRDefault="0088484E" w:rsidP="0088484E">
      <w:pPr>
        <w:tabs>
          <w:tab w:val="left" w:pos="2751"/>
        </w:tabs>
        <w:jc w:val="both"/>
        <w:rPr>
          <w:rFonts w:ascii="Calibri" w:hAnsi="Calibri"/>
          <w:b/>
          <w:lang w:val="es-DO"/>
        </w:rPr>
      </w:pPr>
    </w:p>
    <w:p w14:paraId="6AB2C73E" w14:textId="18F69FD4" w:rsidR="00AC6489" w:rsidRPr="00EF509D" w:rsidRDefault="00647FBD" w:rsidP="00AC6489">
      <w:pPr>
        <w:numPr>
          <w:ilvl w:val="0"/>
          <w:numId w:val="15"/>
        </w:numPr>
        <w:tabs>
          <w:tab w:val="left" w:pos="2751"/>
        </w:tabs>
        <w:spacing w:after="160" w:line="259" w:lineRule="auto"/>
        <w:contextualSpacing/>
        <w:jc w:val="both"/>
        <w:rPr>
          <w:rFonts w:ascii="Calibri" w:hAnsi="Calibri"/>
          <w:b/>
          <w:bCs/>
          <w:lang w:val="es-DO"/>
        </w:rPr>
      </w:pPr>
      <w:r w:rsidRPr="008E2D67">
        <w:rPr>
          <w:rFonts w:ascii="Calibri" w:hAnsi="Calibri"/>
          <w:b/>
          <w:lang w:val="es-DO"/>
        </w:rPr>
        <w:t xml:space="preserve">En </w:t>
      </w:r>
      <w:r w:rsidR="00A827F1">
        <w:rPr>
          <w:rFonts w:ascii="Calibri" w:hAnsi="Calibri"/>
          <w:b/>
          <w:lang w:val="es-DO"/>
        </w:rPr>
        <w:t>el</w:t>
      </w:r>
      <w:r w:rsidRPr="008E2D67">
        <w:rPr>
          <w:rFonts w:ascii="Calibri" w:hAnsi="Calibri"/>
          <w:b/>
          <w:lang w:val="es-DO"/>
        </w:rPr>
        <w:t xml:space="preserve"> segundo nivel de verificación</w:t>
      </w:r>
      <w:r w:rsidRPr="008E2D67">
        <w:rPr>
          <w:rFonts w:ascii="Calibri" w:hAnsi="Calibri"/>
          <w:lang w:val="es-DO"/>
        </w:rPr>
        <w:t>, en el que se eva</w:t>
      </w:r>
      <w:r w:rsidR="00A827F1">
        <w:rPr>
          <w:rFonts w:ascii="Calibri" w:hAnsi="Calibri"/>
          <w:lang w:val="es-DO"/>
        </w:rPr>
        <w:t>luaron</w:t>
      </w:r>
      <w:r w:rsidRPr="008E2D67">
        <w:rPr>
          <w:rFonts w:ascii="Calibri" w:hAnsi="Calibri"/>
          <w:lang w:val="es-DO"/>
        </w:rPr>
        <w:t xml:space="preserve"> las asignaciones realizadas por el Consejo Provincial de </w:t>
      </w:r>
      <w:proofErr w:type="spellStart"/>
      <w:r w:rsidRPr="008E2D67">
        <w:rPr>
          <w:rFonts w:ascii="Calibri" w:hAnsi="Calibri"/>
          <w:lang w:val="es-DO"/>
        </w:rPr>
        <w:t>FOMISAR</w:t>
      </w:r>
      <w:proofErr w:type="spellEnd"/>
      <w:r w:rsidRPr="008E2D67">
        <w:rPr>
          <w:rFonts w:ascii="Calibri" w:hAnsi="Calibri"/>
          <w:lang w:val="es-DO"/>
        </w:rPr>
        <w:t xml:space="preserve"> en los </w:t>
      </w:r>
      <w:r w:rsidR="00AC6489">
        <w:rPr>
          <w:rFonts w:ascii="Calibri" w:hAnsi="Calibri"/>
          <w:lang w:val="es-DO"/>
        </w:rPr>
        <w:t xml:space="preserve">demás </w:t>
      </w:r>
      <w:r w:rsidRPr="008E2D67">
        <w:rPr>
          <w:rFonts w:ascii="Calibri" w:hAnsi="Calibri"/>
          <w:lang w:val="es-DO"/>
        </w:rPr>
        <w:t>municipios de la provincia</w:t>
      </w:r>
      <w:r w:rsidR="00AC6489">
        <w:rPr>
          <w:rFonts w:ascii="Calibri" w:hAnsi="Calibri"/>
          <w:lang w:val="es-DO"/>
        </w:rPr>
        <w:t xml:space="preserve"> Sánchez Ramírez, </w:t>
      </w:r>
      <w:r w:rsidRPr="008E2D67">
        <w:rPr>
          <w:rFonts w:ascii="Calibri" w:hAnsi="Calibri"/>
          <w:b/>
          <w:lang w:val="es-DO"/>
        </w:rPr>
        <w:t xml:space="preserve">se </w:t>
      </w:r>
      <w:r w:rsidR="00AC6489">
        <w:rPr>
          <w:rFonts w:ascii="Calibri" w:hAnsi="Calibri"/>
          <w:b/>
          <w:lang w:val="es-DO"/>
        </w:rPr>
        <w:t>encontraron</w:t>
      </w:r>
      <w:r w:rsidRPr="008E2D67">
        <w:rPr>
          <w:rFonts w:ascii="Calibri" w:hAnsi="Calibri"/>
          <w:b/>
          <w:lang w:val="es-DO"/>
        </w:rPr>
        <w:t xml:space="preserve"> diferencias entre la proporción del número de habitantes </w:t>
      </w:r>
      <w:r w:rsidR="00A827F1">
        <w:rPr>
          <w:rFonts w:ascii="Calibri" w:hAnsi="Calibri"/>
          <w:b/>
          <w:lang w:val="es-DO"/>
        </w:rPr>
        <w:t xml:space="preserve">calculada </w:t>
      </w:r>
      <w:r w:rsidRPr="008E2D67">
        <w:rPr>
          <w:rFonts w:ascii="Calibri" w:hAnsi="Calibri"/>
          <w:b/>
          <w:lang w:val="es-DO"/>
        </w:rPr>
        <w:t>a partir de los datos del Censo de 2010, y los porcentajes que fueron utilizados por el Consejo Provincial para hacer la distribución</w:t>
      </w:r>
      <w:r w:rsidRPr="008E2D67">
        <w:rPr>
          <w:rFonts w:ascii="Calibri" w:hAnsi="Calibri"/>
          <w:lang w:val="es-DO"/>
        </w:rPr>
        <w:t>.</w:t>
      </w:r>
      <w:r w:rsidR="00EF509D">
        <w:rPr>
          <w:rFonts w:ascii="Calibri" w:hAnsi="Calibri"/>
          <w:lang w:val="es-DO"/>
        </w:rPr>
        <w:t xml:space="preserve"> </w:t>
      </w:r>
      <w:r w:rsidR="00EF509D" w:rsidRPr="00EF509D">
        <w:rPr>
          <w:rFonts w:ascii="Calibri" w:hAnsi="Calibri"/>
          <w:b/>
          <w:bCs/>
          <w:lang w:val="es-DO"/>
        </w:rPr>
        <w:t>La mayor desviación corresponde al municipio de La Mata, mientras que Fantino y Cevicos tuvieron una menor diferencia en los porcentajes asignados</w:t>
      </w:r>
      <w:r w:rsidR="00EF509D">
        <w:rPr>
          <w:rFonts w:ascii="Calibri" w:hAnsi="Calibri"/>
          <w:b/>
          <w:bCs/>
          <w:lang w:val="es-DO"/>
        </w:rPr>
        <w:t>.</w:t>
      </w:r>
    </w:p>
    <w:p w14:paraId="37982275" w14:textId="77777777" w:rsidR="00647FBD" w:rsidRPr="008E2D67" w:rsidRDefault="00647FBD" w:rsidP="00647FBD">
      <w:pPr>
        <w:tabs>
          <w:tab w:val="left" w:pos="2751"/>
        </w:tabs>
        <w:jc w:val="both"/>
        <w:rPr>
          <w:rFonts w:ascii="Calibri" w:hAnsi="Calibri"/>
          <w:b/>
          <w:lang w:val="es-DO"/>
        </w:rPr>
      </w:pPr>
    </w:p>
    <w:p w14:paraId="38E70FDE" w14:textId="01F1B98A" w:rsidR="00647FBD" w:rsidRDefault="00AC6489" w:rsidP="00647FBD">
      <w:pPr>
        <w:numPr>
          <w:ilvl w:val="0"/>
          <w:numId w:val="15"/>
        </w:numPr>
        <w:tabs>
          <w:tab w:val="left" w:pos="2751"/>
        </w:tabs>
        <w:spacing w:after="160" w:line="259" w:lineRule="auto"/>
        <w:contextualSpacing/>
        <w:jc w:val="both"/>
        <w:rPr>
          <w:rFonts w:ascii="Calibri" w:hAnsi="Calibri"/>
          <w:lang w:val="es-DO"/>
        </w:rPr>
      </w:pPr>
      <w:r w:rsidRPr="00AC6489">
        <w:rPr>
          <w:rFonts w:ascii="Calibri" w:hAnsi="Calibri"/>
          <w:bCs/>
          <w:lang w:val="es-DO"/>
        </w:rPr>
        <w:t>C</w:t>
      </w:r>
      <w:r w:rsidR="00647FBD" w:rsidRPr="00AC6489">
        <w:rPr>
          <w:rFonts w:ascii="Calibri" w:hAnsi="Calibri"/>
          <w:bCs/>
          <w:lang w:val="es-DO"/>
        </w:rPr>
        <w:t>omo</w:t>
      </w:r>
      <w:r w:rsidR="00647FBD" w:rsidRPr="008E2D67">
        <w:rPr>
          <w:rFonts w:ascii="Calibri" w:hAnsi="Calibri"/>
          <w:lang w:val="es-DO"/>
        </w:rPr>
        <w:t xml:space="preserve"> resultado de lo señalado en el Punto No. 3 y No. 4 de este acápite, </w:t>
      </w:r>
      <w:r w:rsidR="00A827F1">
        <w:rPr>
          <w:rFonts w:ascii="Calibri" w:hAnsi="Calibri"/>
          <w:lang w:val="es-DO"/>
        </w:rPr>
        <w:t>para los años 20</w:t>
      </w:r>
      <w:r w:rsidR="005D50C9">
        <w:rPr>
          <w:rFonts w:ascii="Calibri" w:hAnsi="Calibri"/>
          <w:lang w:val="es-DO"/>
        </w:rPr>
        <w:t>21</w:t>
      </w:r>
      <w:r w:rsidR="00A827F1">
        <w:rPr>
          <w:rFonts w:ascii="Calibri" w:hAnsi="Calibri"/>
          <w:lang w:val="es-DO"/>
        </w:rPr>
        <w:t xml:space="preserve"> y 202</w:t>
      </w:r>
      <w:r w:rsidR="005D50C9">
        <w:rPr>
          <w:rFonts w:ascii="Calibri" w:hAnsi="Calibri"/>
          <w:lang w:val="es-DO"/>
        </w:rPr>
        <w:t>2</w:t>
      </w:r>
      <w:r w:rsidR="00A827F1">
        <w:rPr>
          <w:rFonts w:ascii="Calibri" w:hAnsi="Calibri"/>
          <w:lang w:val="es-DO"/>
        </w:rPr>
        <w:t xml:space="preserve"> </w:t>
      </w:r>
      <w:r w:rsidR="00647FBD" w:rsidRPr="008E2D67">
        <w:rPr>
          <w:rFonts w:ascii="Calibri" w:hAnsi="Calibri"/>
          <w:b/>
          <w:lang w:val="es-DO"/>
        </w:rPr>
        <w:t xml:space="preserve">se </w:t>
      </w:r>
      <w:r w:rsidR="00A827F1">
        <w:rPr>
          <w:rFonts w:ascii="Calibri" w:hAnsi="Calibri"/>
          <w:b/>
          <w:lang w:val="es-DO"/>
        </w:rPr>
        <w:t>obtuvieron</w:t>
      </w:r>
      <w:r w:rsidR="00647FBD" w:rsidRPr="008E2D67">
        <w:rPr>
          <w:rFonts w:ascii="Calibri" w:hAnsi="Calibri"/>
          <w:b/>
          <w:lang w:val="es-DO"/>
        </w:rPr>
        <w:t xml:space="preserve"> diferencias entre la “Distribución de fondos utilizando ponderaciones de referencia RD$” y </w:t>
      </w:r>
      <w:r w:rsidR="00A827F1">
        <w:rPr>
          <w:rFonts w:ascii="Calibri" w:hAnsi="Calibri"/>
          <w:b/>
          <w:lang w:val="es-DO"/>
        </w:rPr>
        <w:t xml:space="preserve">la </w:t>
      </w:r>
      <w:r w:rsidR="00647FBD" w:rsidRPr="008E2D67">
        <w:rPr>
          <w:rFonts w:ascii="Calibri" w:hAnsi="Calibri"/>
          <w:b/>
          <w:lang w:val="es-DO"/>
        </w:rPr>
        <w:t xml:space="preserve">“Distribución de fondos ejecutada por Consejo Provincial </w:t>
      </w:r>
      <w:proofErr w:type="spellStart"/>
      <w:r w:rsidR="00647FBD" w:rsidRPr="008E2D67">
        <w:rPr>
          <w:rFonts w:ascii="Calibri" w:hAnsi="Calibri"/>
          <w:b/>
          <w:lang w:val="es-DO"/>
        </w:rPr>
        <w:t>FOMISAR</w:t>
      </w:r>
      <w:proofErr w:type="spellEnd"/>
      <w:r w:rsidR="00647FBD" w:rsidRPr="008E2D67">
        <w:rPr>
          <w:rFonts w:ascii="Calibri" w:hAnsi="Calibri"/>
          <w:b/>
          <w:lang w:val="es-DO"/>
        </w:rPr>
        <w:t xml:space="preserve"> RD$”. Se trata de diferencias positivas y negativas</w:t>
      </w:r>
      <w:r w:rsidR="008474D8" w:rsidRPr="008E2D67">
        <w:rPr>
          <w:rFonts w:ascii="Calibri" w:hAnsi="Calibri"/>
          <w:b/>
          <w:lang w:val="es-DO"/>
        </w:rPr>
        <w:t xml:space="preserve">, </w:t>
      </w:r>
      <w:r w:rsidR="00647FBD" w:rsidRPr="008E2D67">
        <w:rPr>
          <w:rFonts w:ascii="Calibri" w:hAnsi="Calibri"/>
          <w:b/>
          <w:lang w:val="es-DO"/>
        </w:rPr>
        <w:t xml:space="preserve">que </w:t>
      </w:r>
      <w:r>
        <w:rPr>
          <w:rFonts w:ascii="Calibri" w:hAnsi="Calibri"/>
          <w:b/>
          <w:lang w:val="es-DO"/>
        </w:rPr>
        <w:t>se distribuye</w:t>
      </w:r>
      <w:r w:rsidR="00A827F1">
        <w:rPr>
          <w:rFonts w:ascii="Calibri" w:hAnsi="Calibri"/>
          <w:b/>
          <w:lang w:val="es-DO"/>
        </w:rPr>
        <w:t>ro</w:t>
      </w:r>
      <w:r>
        <w:rPr>
          <w:rFonts w:ascii="Calibri" w:hAnsi="Calibri"/>
          <w:b/>
          <w:lang w:val="es-DO"/>
        </w:rPr>
        <w:t xml:space="preserve">n </w:t>
      </w:r>
      <w:r w:rsidR="00647FBD" w:rsidRPr="008E2D67">
        <w:rPr>
          <w:rFonts w:ascii="Calibri" w:hAnsi="Calibri"/>
          <w:b/>
          <w:lang w:val="es-DO"/>
        </w:rPr>
        <w:t>en un rango de -</w:t>
      </w:r>
      <w:r w:rsidR="00B723ED">
        <w:rPr>
          <w:rFonts w:ascii="Calibri" w:hAnsi="Calibri"/>
          <w:b/>
          <w:lang w:val="es-DO"/>
        </w:rPr>
        <w:t>26</w:t>
      </w:r>
      <w:r w:rsidR="008474D8" w:rsidRPr="008E2D67">
        <w:rPr>
          <w:rFonts w:ascii="Calibri" w:hAnsi="Calibri"/>
          <w:b/>
          <w:lang w:val="es-DO"/>
        </w:rPr>
        <w:t>.8</w:t>
      </w:r>
      <w:r w:rsidR="00B723ED">
        <w:rPr>
          <w:rFonts w:ascii="Calibri" w:hAnsi="Calibri"/>
          <w:b/>
          <w:lang w:val="es-DO"/>
        </w:rPr>
        <w:t xml:space="preserve">9 </w:t>
      </w:r>
      <w:r w:rsidR="00647FBD" w:rsidRPr="008E2D67">
        <w:rPr>
          <w:rFonts w:ascii="Calibri" w:hAnsi="Calibri"/>
          <w:b/>
          <w:lang w:val="es-DO"/>
        </w:rPr>
        <w:t xml:space="preserve">% y </w:t>
      </w:r>
      <w:r w:rsidR="00EF509D">
        <w:rPr>
          <w:rFonts w:ascii="Calibri" w:hAnsi="Calibri"/>
          <w:b/>
          <w:lang w:val="es-DO"/>
        </w:rPr>
        <w:t>2</w:t>
      </w:r>
      <w:r w:rsidR="008474D8" w:rsidRPr="008E2D67">
        <w:rPr>
          <w:rFonts w:ascii="Calibri" w:hAnsi="Calibri"/>
          <w:b/>
          <w:lang w:val="es-DO"/>
        </w:rPr>
        <w:t>.</w:t>
      </w:r>
      <w:r w:rsidR="00EF509D">
        <w:rPr>
          <w:rFonts w:ascii="Calibri" w:hAnsi="Calibri"/>
          <w:b/>
          <w:lang w:val="es-DO"/>
        </w:rPr>
        <w:t>19</w:t>
      </w:r>
      <w:r w:rsidR="00B723ED">
        <w:rPr>
          <w:rFonts w:ascii="Calibri" w:hAnsi="Calibri"/>
          <w:b/>
          <w:lang w:val="es-DO"/>
        </w:rPr>
        <w:t xml:space="preserve"> </w:t>
      </w:r>
      <w:r w:rsidR="00647FBD" w:rsidRPr="008E2D67">
        <w:rPr>
          <w:rFonts w:ascii="Calibri" w:hAnsi="Calibri"/>
          <w:b/>
          <w:lang w:val="es-DO"/>
        </w:rPr>
        <w:t>%</w:t>
      </w:r>
      <w:r>
        <w:rPr>
          <w:rFonts w:ascii="Calibri" w:hAnsi="Calibri"/>
          <w:b/>
          <w:lang w:val="es-DO"/>
        </w:rPr>
        <w:t>, para el primer nivel de verificación, y en un intervalo de -</w:t>
      </w:r>
      <w:r w:rsidR="00B723ED">
        <w:rPr>
          <w:rFonts w:ascii="Calibri" w:hAnsi="Calibri"/>
          <w:b/>
          <w:lang w:val="es-DO"/>
        </w:rPr>
        <w:t>0</w:t>
      </w:r>
      <w:r>
        <w:rPr>
          <w:rFonts w:ascii="Calibri" w:hAnsi="Calibri"/>
          <w:b/>
          <w:lang w:val="es-DO"/>
        </w:rPr>
        <w:t>.</w:t>
      </w:r>
      <w:r w:rsidR="00B723ED">
        <w:rPr>
          <w:rFonts w:ascii="Calibri" w:hAnsi="Calibri"/>
          <w:b/>
          <w:lang w:val="es-DO"/>
        </w:rPr>
        <w:t xml:space="preserve">19 </w:t>
      </w:r>
      <w:r>
        <w:rPr>
          <w:rFonts w:ascii="Calibri" w:hAnsi="Calibri"/>
          <w:b/>
          <w:lang w:val="es-DO"/>
        </w:rPr>
        <w:t xml:space="preserve">% y </w:t>
      </w:r>
      <w:r w:rsidR="00B723ED">
        <w:rPr>
          <w:rFonts w:ascii="Calibri" w:hAnsi="Calibri"/>
          <w:b/>
          <w:lang w:val="es-DO"/>
        </w:rPr>
        <w:t>4</w:t>
      </w:r>
      <w:r>
        <w:rPr>
          <w:rFonts w:ascii="Calibri" w:hAnsi="Calibri"/>
          <w:b/>
          <w:lang w:val="es-DO"/>
        </w:rPr>
        <w:t>.</w:t>
      </w:r>
      <w:r w:rsidR="00B723ED">
        <w:rPr>
          <w:rFonts w:ascii="Calibri" w:hAnsi="Calibri"/>
          <w:b/>
          <w:lang w:val="es-DO"/>
        </w:rPr>
        <w:t xml:space="preserve">03 </w:t>
      </w:r>
      <w:r>
        <w:rPr>
          <w:rFonts w:ascii="Calibri" w:hAnsi="Calibri"/>
          <w:b/>
          <w:lang w:val="es-DO"/>
        </w:rPr>
        <w:t>% para el segundo nivel de verificación.</w:t>
      </w:r>
    </w:p>
    <w:p w14:paraId="4AFC5257" w14:textId="77777777" w:rsidR="006867E1" w:rsidRPr="00621399" w:rsidRDefault="006867E1" w:rsidP="00621399">
      <w:pPr>
        <w:tabs>
          <w:tab w:val="left" w:pos="2751"/>
        </w:tabs>
        <w:spacing w:after="160" w:line="259" w:lineRule="auto"/>
        <w:contextualSpacing/>
        <w:jc w:val="both"/>
        <w:rPr>
          <w:rFonts w:ascii="Calibri" w:hAnsi="Calibri"/>
          <w:lang w:val="es-DO"/>
        </w:rPr>
      </w:pPr>
    </w:p>
    <w:p w14:paraId="14E4D098" w14:textId="16BCFDE4" w:rsidR="00647FBD" w:rsidRPr="008E2D67" w:rsidRDefault="00647FBD" w:rsidP="00E04952">
      <w:pPr>
        <w:keepNext/>
        <w:keepLines/>
        <w:spacing w:before="40"/>
        <w:outlineLvl w:val="1"/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</w:pPr>
      <w:bookmarkStart w:id="33" w:name="_Toc31065208"/>
      <w:bookmarkStart w:id="34" w:name="_Toc89157436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Anexo: Solicitud de Apoyo Sometida ante la Dirección de Análisis Económico y Financiero por </w:t>
      </w:r>
      <w:r w:rsidR="00D7250E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el</w:t>
      </w:r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 xml:space="preserve"> Coordinador Nacional </w:t>
      </w:r>
      <w:proofErr w:type="spellStart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EITI</w:t>
      </w:r>
      <w:proofErr w:type="spellEnd"/>
      <w:r w:rsidRPr="008E2D67">
        <w:rPr>
          <w:rFonts w:ascii="Arial Narrow" w:eastAsia="Times New Roman" w:hAnsi="Arial Narrow"/>
          <w:b/>
          <w:color w:val="203764"/>
          <w:sz w:val="28"/>
          <w:szCs w:val="26"/>
          <w:lang w:val="es-DO"/>
        </w:rPr>
        <w:t>-RD</w:t>
      </w:r>
      <w:bookmarkEnd w:id="33"/>
      <w:bookmarkEnd w:id="34"/>
    </w:p>
    <w:p w14:paraId="1EED476F" w14:textId="310B77F5" w:rsidR="001D7034" w:rsidRDefault="001D7034" w:rsidP="001D7034">
      <w:pPr>
        <w:rPr>
          <w:lang w:val="es-DO"/>
        </w:rPr>
      </w:pPr>
    </w:p>
    <w:p w14:paraId="0F0ED63A" w14:textId="309BC07E" w:rsidR="00621399" w:rsidRPr="00E04952" w:rsidRDefault="00621399" w:rsidP="001D7034">
      <w:pPr>
        <w:rPr>
          <w:lang w:val="es-DO"/>
        </w:rPr>
      </w:pPr>
      <w:r w:rsidRPr="00621399">
        <w:rPr>
          <w:noProof/>
        </w:rPr>
        <w:drawing>
          <wp:inline distT="0" distB="0" distL="0" distR="0" wp14:anchorId="623465A8" wp14:editId="3EB8EC6B">
            <wp:extent cx="5580181" cy="4343400"/>
            <wp:effectExtent l="0" t="0" r="1905" b="0"/>
            <wp:docPr id="3924950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9500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88430" cy="43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1399" w:rsidRPr="00E04952" w:rsidSect="00202909">
      <w:headerReference w:type="default" r:id="rId22"/>
      <w:footerReference w:type="default" r:id="rId23"/>
      <w:pgSz w:w="12240" w:h="15840"/>
      <w:pgMar w:top="1135" w:right="1750" w:bottom="1417" w:left="1701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9185" w14:textId="77777777" w:rsidR="00264F10" w:rsidRDefault="00264F10" w:rsidP="00333662">
      <w:r>
        <w:separator/>
      </w:r>
    </w:p>
  </w:endnote>
  <w:endnote w:type="continuationSeparator" w:id="0">
    <w:p w14:paraId="073FA658" w14:textId="77777777" w:rsidR="00264F10" w:rsidRDefault="00264F10" w:rsidP="0033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0247563"/>
      <w:docPartObj>
        <w:docPartGallery w:val="Page Numbers (Bottom of Page)"/>
        <w:docPartUnique/>
      </w:docPartObj>
    </w:sdtPr>
    <w:sdtContent>
      <w:p w14:paraId="6963DF37" w14:textId="0F27FB3E" w:rsidR="000C52BA" w:rsidRPr="00CC07D7" w:rsidRDefault="00A005CD" w:rsidP="00EB1142">
        <w:pPr>
          <w:pStyle w:val="Piedepgina"/>
          <w:tabs>
            <w:tab w:val="left" w:pos="1620"/>
          </w:tabs>
          <w:rPr>
            <w:sz w:val="14"/>
            <w:szCs w:val="14"/>
          </w:rPr>
        </w:pPr>
        <w:r w:rsidRPr="00CC07D7">
          <w:rPr>
            <w:noProof/>
            <w:color w:val="FFFFFF" w:themeColor="background1"/>
            <w:sz w:val="10"/>
            <w:szCs w:val="10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852B4B2" wp14:editId="29C73F80">
                  <wp:simplePos x="0" y="0"/>
                  <wp:positionH relativeFrom="column">
                    <wp:posOffset>-1099185</wp:posOffset>
                  </wp:positionH>
                  <wp:positionV relativeFrom="paragraph">
                    <wp:posOffset>12065</wp:posOffset>
                  </wp:positionV>
                  <wp:extent cx="1448435" cy="370840"/>
                  <wp:effectExtent l="0" t="0" r="18415" b="10160"/>
                  <wp:wrapNone/>
                  <wp:docPr id="6" name="Rectángul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448435" cy="370840"/>
                          </a:xfrm>
                          <a:prstGeom prst="rect">
                            <a:avLst/>
                          </a:prstGeom>
                          <a:solidFill>
                            <a:srgbClr val="FF2121"/>
                          </a:solidFill>
                          <a:ln>
                            <a:solidFill>
                              <a:srgbClr val="FF212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38A3FA04" id="Rectángulo 6" o:spid="_x0000_s1026" style="position:absolute;margin-left:-86.55pt;margin-top:.95pt;width:114.05pt;height:2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" fillcolor="#ff2121" strokecolor="#ff2121" strokeweight="1pt"/>
              </w:pict>
            </mc:Fallback>
          </mc:AlternateContent>
        </w:r>
        <w:r w:rsidR="000C52BA" w:rsidRPr="00CC07D7">
          <w:rPr>
            <w:noProof/>
            <w:color w:val="FFFFFF" w:themeColor="background1"/>
            <w:sz w:val="10"/>
            <w:szCs w:val="10"/>
          </w:rPr>
          <mc:AlternateContent>
            <mc:Choice Requires="wps">
              <w:drawing>
                <wp:anchor distT="0" distB="0" distL="114300" distR="114300" simplePos="0" relativeHeight="251658239" behindDoc="1" locked="0" layoutInCell="1" allowOverlap="1" wp14:anchorId="00922BD9" wp14:editId="2A1ABA78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12065</wp:posOffset>
                  </wp:positionV>
                  <wp:extent cx="6305550" cy="379730"/>
                  <wp:effectExtent l="0" t="0" r="19050" b="20320"/>
                  <wp:wrapThrough wrapText="bothSides">
                    <wp:wrapPolygon edited="0">
                      <wp:start x="0" y="0"/>
                      <wp:lineTo x="0" y="21672"/>
                      <wp:lineTo x="21600" y="21672"/>
                      <wp:lineTo x="21600" y="0"/>
                      <wp:lineTo x="0" y="0"/>
                    </wp:wrapPolygon>
                  </wp:wrapThrough>
                  <wp:docPr id="10" name="Rectángulo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305550" cy="379730"/>
                          </a:xfrm>
                          <a:prstGeom prst="rect">
                            <a:avLst/>
                          </a:prstGeom>
                          <a:solidFill>
                            <a:srgbClr val="203764"/>
                          </a:solidFill>
                          <a:ln>
                            <a:solidFill>
                              <a:srgbClr val="20376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B0636" w14:textId="77777777" w:rsidR="00E04952" w:rsidRPr="00E04952" w:rsidRDefault="00E04952" w:rsidP="00E04952">
                              <w:pPr>
                                <w:ind w:right="1569"/>
                                <w:jc w:val="center"/>
                                <w:rPr>
                                  <w:rFonts w:ascii="Calibri" w:hAnsi="Calibri"/>
                                  <w:color w:val="FFFFFF" w:themeColor="background1"/>
                                  <w:sz w:val="19"/>
                                  <w:szCs w:val="19"/>
                                  <w:lang w:val="es-DO"/>
                                </w:rPr>
                              </w:pPr>
                              <w:r w:rsidRPr="00E04952">
                                <w:rPr>
                                  <w:rFonts w:ascii="Calibri" w:hAnsi="Calibri"/>
                                  <w:color w:val="FFFFFF" w:themeColor="background1"/>
                                  <w:sz w:val="19"/>
                                  <w:szCs w:val="19"/>
                                  <w:lang w:val="es-DO"/>
                                </w:rPr>
                                <w:t xml:space="preserve">Transferencias del Gobierno Central al Consejo Provincial de </w:t>
                              </w:r>
                              <w:proofErr w:type="spellStart"/>
                              <w:r w:rsidRPr="00E04952">
                                <w:rPr>
                                  <w:rFonts w:ascii="Calibri" w:hAnsi="Calibri"/>
                                  <w:color w:val="FFFFFF" w:themeColor="background1"/>
                                  <w:sz w:val="19"/>
                                  <w:szCs w:val="19"/>
                                  <w:lang w:val="es-DO"/>
                                </w:rPr>
                                <w:t>FOMISAR</w:t>
                              </w:r>
                              <w:proofErr w:type="spellEnd"/>
                              <w:r w:rsidRPr="00E04952">
                                <w:rPr>
                                  <w:rFonts w:ascii="Calibri" w:hAnsi="Calibri"/>
                                  <w:color w:val="FFFFFF" w:themeColor="background1"/>
                                  <w:sz w:val="19"/>
                                  <w:szCs w:val="19"/>
                                  <w:lang w:val="es-DO"/>
                                </w:rPr>
                                <w:t xml:space="preserve"> y su Distribución Territorial </w:t>
                              </w:r>
                            </w:p>
                            <w:p w14:paraId="5366E314" w14:textId="2A13A258" w:rsidR="000C52BA" w:rsidRPr="008D7576" w:rsidRDefault="00E04952" w:rsidP="00E04952">
                              <w:pPr>
                                <w:ind w:right="1569"/>
                                <w:jc w:val="center"/>
                                <w:rPr>
                                  <w:rFonts w:ascii="Calibri" w:hAnsi="Calibri"/>
                                  <w:color w:val="FFFFFF" w:themeColor="background1"/>
                                  <w:sz w:val="19"/>
                                  <w:szCs w:val="19"/>
                                  <w:lang w:val="es-DO"/>
                                </w:rPr>
                              </w:pPr>
                              <w:r w:rsidRPr="00E04952">
                                <w:rPr>
                                  <w:rFonts w:ascii="Calibri" w:hAnsi="Calibri"/>
                                  <w:color w:val="FFFFFF" w:themeColor="background1"/>
                                  <w:sz w:val="19"/>
                                  <w:szCs w:val="19"/>
                                  <w:lang w:val="es-DO"/>
                                </w:rPr>
                                <w:t xml:space="preserve">Años </w:t>
                              </w:r>
                              <w:r w:rsidR="008A61F1">
                                <w:rPr>
                                  <w:rFonts w:ascii="Calibri" w:hAnsi="Calibri"/>
                                  <w:color w:val="FFFFFF" w:themeColor="background1"/>
                                  <w:sz w:val="19"/>
                                  <w:szCs w:val="19"/>
                                  <w:lang w:val="es-DO"/>
                                </w:rPr>
                                <w:t>2021</w:t>
                              </w:r>
                              <w:r w:rsidRPr="00E04952">
                                <w:rPr>
                                  <w:rFonts w:ascii="Calibri" w:hAnsi="Calibri"/>
                                  <w:color w:val="FFFFFF" w:themeColor="background1"/>
                                  <w:sz w:val="19"/>
                                  <w:szCs w:val="19"/>
                                  <w:lang w:val="es-DO"/>
                                </w:rPr>
                                <w:t xml:space="preserve"> y </w:t>
                              </w:r>
                              <w:r w:rsidR="008A61F1">
                                <w:rPr>
                                  <w:rFonts w:ascii="Calibri" w:hAnsi="Calibri"/>
                                  <w:color w:val="FFFFFF" w:themeColor="background1"/>
                                  <w:sz w:val="19"/>
                                  <w:szCs w:val="19"/>
                                  <w:lang w:val="es-DO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0922BD9" id="Rectángulo 10" o:spid="_x0000_s1030" style="position:absolute;margin-left:33.45pt;margin-top:.95pt;width:496.5pt;height:29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" fillcolor="#203764" strokecolor="#203764" strokeweight="1pt">
                  <v:textbox>
                    <w:txbxContent>
                      <w:p w14:paraId="0AEB0636" w14:textId="77777777" w:rsidR="00E04952" w:rsidRPr="00E04952" w:rsidRDefault="00E04952" w:rsidP="00E04952">
                        <w:pPr>
                          <w:ind w:right="1569"/>
                          <w:jc w:val="center"/>
                          <w:rPr>
                            <w:rFonts w:ascii="Calibri" w:hAnsi="Calibri"/>
                            <w:color w:val="FFFFFF" w:themeColor="background1"/>
                            <w:sz w:val="19"/>
                            <w:szCs w:val="19"/>
                            <w:lang w:val="es-DO"/>
                          </w:rPr>
                        </w:pPr>
                        <w:r w:rsidRPr="00E04952">
                          <w:rPr>
                            <w:rFonts w:ascii="Calibri" w:hAnsi="Calibri"/>
                            <w:color w:val="FFFFFF" w:themeColor="background1"/>
                            <w:sz w:val="19"/>
                            <w:szCs w:val="19"/>
                            <w:lang w:val="es-DO"/>
                          </w:rPr>
                          <w:t xml:space="preserve">Transferencias del Gobierno Central al Consejo Provincial de FOMISAR y su Distribución Territorial </w:t>
                        </w:r>
                      </w:p>
                      <w:p w14:paraId="5366E314" w14:textId="2A13A258" w:rsidR="000C52BA" w:rsidRPr="008D7576" w:rsidRDefault="00E04952" w:rsidP="00E04952">
                        <w:pPr>
                          <w:ind w:right="1569"/>
                          <w:jc w:val="center"/>
                          <w:rPr>
                            <w:rFonts w:ascii="Calibri" w:hAnsi="Calibri"/>
                            <w:color w:val="FFFFFF" w:themeColor="background1"/>
                            <w:sz w:val="19"/>
                            <w:szCs w:val="19"/>
                            <w:lang w:val="es-DO"/>
                          </w:rPr>
                        </w:pPr>
                        <w:r w:rsidRPr="00E04952">
                          <w:rPr>
                            <w:rFonts w:ascii="Calibri" w:hAnsi="Calibri"/>
                            <w:color w:val="FFFFFF" w:themeColor="background1"/>
                            <w:sz w:val="19"/>
                            <w:szCs w:val="19"/>
                            <w:lang w:val="es-DO"/>
                          </w:rPr>
                          <w:t xml:space="preserve">Años </w:t>
                        </w:r>
                        <w:r w:rsidR="008A61F1">
                          <w:rPr>
                            <w:rFonts w:ascii="Calibri" w:hAnsi="Calibri"/>
                            <w:color w:val="FFFFFF" w:themeColor="background1"/>
                            <w:sz w:val="19"/>
                            <w:szCs w:val="19"/>
                            <w:lang w:val="es-DO"/>
                          </w:rPr>
                          <w:t>2021</w:t>
                        </w:r>
                        <w:r w:rsidRPr="00E04952">
                          <w:rPr>
                            <w:rFonts w:ascii="Calibri" w:hAnsi="Calibri"/>
                            <w:color w:val="FFFFFF" w:themeColor="background1"/>
                            <w:sz w:val="19"/>
                            <w:szCs w:val="19"/>
                            <w:lang w:val="es-DO"/>
                          </w:rPr>
                          <w:t xml:space="preserve"> y </w:t>
                        </w:r>
                        <w:r w:rsidR="008A61F1">
                          <w:rPr>
                            <w:rFonts w:ascii="Calibri" w:hAnsi="Calibri"/>
                            <w:color w:val="FFFFFF" w:themeColor="background1"/>
                            <w:sz w:val="19"/>
                            <w:szCs w:val="19"/>
                            <w:lang w:val="es-DO"/>
                          </w:rPr>
                          <w:t>2022</w:t>
                        </w:r>
                      </w:p>
                    </w:txbxContent>
                  </v:textbox>
                  <w10:wrap type="through"/>
                </v:rect>
              </w:pict>
            </mc:Fallback>
          </mc:AlternateContent>
        </w:r>
      </w:p>
      <w:p w14:paraId="532D918F" w14:textId="42491214" w:rsidR="000C52BA" w:rsidRPr="00CC07D7" w:rsidRDefault="000C52BA" w:rsidP="00501BCA">
        <w:pPr>
          <w:pStyle w:val="Piedepgina"/>
          <w:tabs>
            <w:tab w:val="left" w:pos="1620"/>
          </w:tabs>
          <w:jc w:val="center"/>
          <w:rPr>
            <w:rFonts w:ascii="Calibri" w:hAnsi="Calibri"/>
            <w:sz w:val="19"/>
            <w:szCs w:val="19"/>
            <w:lang w:val="es-DO"/>
          </w:rPr>
        </w:pPr>
        <w:r w:rsidRPr="007F1685">
          <w:rPr>
            <w:color w:val="FFFFFF" w:themeColor="background1"/>
          </w:rPr>
          <w:fldChar w:fldCharType="begin"/>
        </w:r>
        <w:r w:rsidRPr="007F1685">
          <w:rPr>
            <w:color w:val="FFFFFF" w:themeColor="background1"/>
          </w:rPr>
          <w:instrText>PAGE   \* MERGEFORMAT</w:instrText>
        </w:r>
        <w:r w:rsidRPr="007F1685">
          <w:rPr>
            <w:color w:val="FFFFFF" w:themeColor="background1"/>
          </w:rPr>
          <w:fldChar w:fldCharType="separate"/>
        </w:r>
        <w:r w:rsidRPr="007F1685">
          <w:rPr>
            <w:color w:val="FFFFFF" w:themeColor="background1"/>
            <w:lang w:val="es-ES"/>
          </w:rPr>
          <w:t>2</w:t>
        </w:r>
        <w:r w:rsidRPr="007F1685">
          <w:rPr>
            <w:color w:val="FFFFFF" w:themeColor="background1"/>
          </w:rPr>
          <w:fldChar w:fldCharType="end"/>
        </w:r>
        <w:r w:rsidRPr="007F1685">
          <w:rPr>
            <w:color w:val="FFFFFF" w:themeColor="background1"/>
          </w:rPr>
          <w:t xml:space="preserve">   </w:t>
        </w:r>
        <w:r>
          <w:t xml:space="preserve">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125C" w14:textId="77777777" w:rsidR="00264F10" w:rsidRDefault="00264F10" w:rsidP="00333662">
      <w:r>
        <w:separator/>
      </w:r>
    </w:p>
  </w:footnote>
  <w:footnote w:type="continuationSeparator" w:id="0">
    <w:p w14:paraId="54DE4EFD" w14:textId="77777777" w:rsidR="00264F10" w:rsidRDefault="00264F10" w:rsidP="00333662">
      <w:r>
        <w:continuationSeparator/>
      </w:r>
    </w:p>
  </w:footnote>
  <w:footnote w:id="1">
    <w:p w14:paraId="0566EDC7" w14:textId="77777777" w:rsidR="00C67C56" w:rsidRDefault="00C67C56" w:rsidP="00C67C56">
      <w:pPr>
        <w:pStyle w:val="Textonotapie"/>
        <w:rPr>
          <w:rFonts w:asciiTheme="minorHAnsi" w:hAnsiTheme="minorHAnsi"/>
          <w:noProof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/>
        </w:rPr>
        <w:t>Ver tablas No. 2.3.1.1 y 2.3.1.2.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A85E" w14:textId="60A2EEB9" w:rsidR="000C52BA" w:rsidRPr="00737B3E" w:rsidRDefault="000C52BA" w:rsidP="003B585D">
    <w:pPr>
      <w:pStyle w:val="BasicParagraph"/>
      <w:tabs>
        <w:tab w:val="left" w:pos="720"/>
        <w:tab w:val="left" w:pos="1440"/>
        <w:tab w:val="left" w:pos="9109"/>
      </w:tabs>
      <w:contextualSpacing/>
      <w:jc w:val="right"/>
      <w:rPr>
        <w:rFonts w:asciiTheme="minorHAnsi" w:hAnsiTheme="minorHAnsi" w:cstheme="minorHAnsi"/>
        <w:b/>
        <w:bCs/>
        <w:i/>
        <w:iCs/>
        <w:spacing w:val="-3"/>
        <w:sz w:val="8"/>
        <w:szCs w:val="8"/>
        <w:lang w:val="es-DO"/>
      </w:rPr>
    </w:pPr>
  </w:p>
  <w:p w14:paraId="34995CA2" w14:textId="44CAD366" w:rsidR="00E04952" w:rsidRDefault="000C52BA" w:rsidP="00E04952">
    <w:pPr>
      <w:pStyle w:val="BasicParagraph"/>
      <w:tabs>
        <w:tab w:val="left" w:pos="538"/>
        <w:tab w:val="left" w:pos="720"/>
        <w:tab w:val="left" w:pos="1440"/>
        <w:tab w:val="right" w:pos="8789"/>
        <w:tab w:val="left" w:pos="9109"/>
      </w:tabs>
      <w:contextualSpacing/>
      <w:jc w:val="right"/>
      <w:rPr>
        <w:rFonts w:asciiTheme="minorHAnsi" w:hAnsiTheme="minorHAnsi" w:cstheme="minorHAnsi"/>
        <w:b/>
        <w:bCs/>
        <w:i/>
        <w:iCs/>
        <w:spacing w:val="-3"/>
        <w:sz w:val="19"/>
        <w:szCs w:val="19"/>
        <w:lang w:val="es-DO"/>
      </w:rPr>
    </w:pPr>
    <w:r w:rsidRPr="008A61F1">
      <w:rPr>
        <w:rFonts w:ascii="Helvetica" w:hAnsi="Helvetica" w:cs="Helvetica"/>
        <w:i/>
        <w:iCs/>
        <w:noProof/>
        <w:spacing w:val="-3"/>
        <w:sz w:val="16"/>
        <w:szCs w:val="16"/>
        <w:highlight w:val="yellow"/>
        <w:lang w:val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FBE23" wp14:editId="037272C5">
              <wp:simplePos x="0" y="0"/>
              <wp:positionH relativeFrom="column">
                <wp:posOffset>-1101725</wp:posOffset>
              </wp:positionH>
              <wp:positionV relativeFrom="paragraph">
                <wp:posOffset>275368</wp:posOffset>
              </wp:positionV>
              <wp:extent cx="7766892" cy="45719"/>
              <wp:effectExtent l="0" t="0" r="24765" b="12065"/>
              <wp:wrapNone/>
              <wp:docPr id="17" name="Rectá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892" cy="45719"/>
                      </a:xfrm>
                      <a:prstGeom prst="rect">
                        <a:avLst/>
                      </a:prstGeom>
                      <a:solidFill>
                        <a:srgbClr val="203764"/>
                      </a:solidFill>
                      <a:ln>
                        <a:solidFill>
                          <a:srgbClr val="20376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0D4952E1" id="Rectángulo 17" o:spid="_x0000_s1026" style="position:absolute;margin-left:-86.75pt;margin-top:21.7pt;width:611.55pt;height:3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" fillcolor="#203764" strokecolor="#203764" strokeweight="1pt"/>
          </w:pict>
        </mc:Fallback>
      </mc:AlternateContent>
    </w:r>
    <w:r w:rsidR="008A61F1">
      <w:rPr>
        <w:rFonts w:asciiTheme="minorHAnsi" w:hAnsiTheme="minorHAnsi" w:cstheme="minorHAnsi"/>
        <w:b/>
        <w:bCs/>
        <w:i/>
        <w:iCs/>
        <w:spacing w:val="-3"/>
        <w:sz w:val="19"/>
        <w:szCs w:val="19"/>
        <w:lang w:val="es-DO"/>
      </w:rPr>
      <w:t>Quinto</w:t>
    </w:r>
    <w:r w:rsidR="00E04952">
      <w:rPr>
        <w:rFonts w:asciiTheme="minorHAnsi" w:hAnsiTheme="minorHAnsi" w:cstheme="minorHAnsi"/>
        <w:b/>
        <w:bCs/>
        <w:i/>
        <w:iCs/>
        <w:spacing w:val="-3"/>
        <w:sz w:val="19"/>
        <w:szCs w:val="19"/>
        <w:lang w:val="es-DO"/>
      </w:rPr>
      <w:t xml:space="preserve"> Informe </w:t>
    </w:r>
    <w:proofErr w:type="spellStart"/>
    <w:r w:rsidR="00E04952" w:rsidRPr="00E04952">
      <w:rPr>
        <w:rFonts w:asciiTheme="minorHAnsi" w:hAnsiTheme="minorHAnsi" w:cstheme="minorHAnsi"/>
        <w:b/>
        <w:bCs/>
        <w:i/>
        <w:iCs/>
        <w:spacing w:val="-3"/>
        <w:sz w:val="19"/>
        <w:szCs w:val="19"/>
        <w:lang w:val="es-DO"/>
      </w:rPr>
      <w:t>EITI</w:t>
    </w:r>
    <w:proofErr w:type="spellEnd"/>
    <w:r w:rsidR="00E04952" w:rsidRPr="00E04952">
      <w:rPr>
        <w:rFonts w:asciiTheme="minorHAnsi" w:hAnsiTheme="minorHAnsi" w:cstheme="minorHAnsi"/>
        <w:b/>
        <w:bCs/>
        <w:i/>
        <w:iCs/>
        <w:spacing w:val="-3"/>
        <w:sz w:val="19"/>
        <w:szCs w:val="19"/>
        <w:lang w:val="es-DO"/>
      </w:rPr>
      <w:t xml:space="preserve">-RD </w:t>
    </w:r>
  </w:p>
  <w:p w14:paraId="53A523A5" w14:textId="7A83753C" w:rsidR="000C52BA" w:rsidRDefault="000C52BA" w:rsidP="00737B3E">
    <w:pPr>
      <w:pStyle w:val="BasicParagraph"/>
      <w:tabs>
        <w:tab w:val="left" w:pos="538"/>
        <w:tab w:val="left" w:pos="720"/>
        <w:tab w:val="left" w:pos="1440"/>
        <w:tab w:val="right" w:pos="8789"/>
        <w:tab w:val="left" w:pos="9109"/>
      </w:tabs>
      <w:contextualSpacing/>
      <w:jc w:val="right"/>
      <w:rPr>
        <w:rFonts w:asciiTheme="minorHAnsi" w:hAnsiTheme="minorHAnsi" w:cstheme="minorHAnsi"/>
        <w:b/>
        <w:bCs/>
        <w:i/>
        <w:iCs/>
        <w:spacing w:val="-3"/>
        <w:sz w:val="19"/>
        <w:szCs w:val="19"/>
        <w:lang w:val="es-DO"/>
      </w:rPr>
    </w:pPr>
  </w:p>
  <w:p w14:paraId="09B6A041" w14:textId="58188EFB" w:rsidR="000C52BA" w:rsidRPr="000D79BD" w:rsidRDefault="000C52BA" w:rsidP="00737B3E">
    <w:pPr>
      <w:pStyle w:val="BasicParagraph"/>
      <w:tabs>
        <w:tab w:val="left" w:pos="538"/>
        <w:tab w:val="left" w:pos="720"/>
        <w:tab w:val="left" w:pos="1440"/>
        <w:tab w:val="right" w:pos="8789"/>
        <w:tab w:val="left" w:pos="9109"/>
      </w:tabs>
      <w:contextualSpacing/>
      <w:rPr>
        <w:rFonts w:asciiTheme="minorHAnsi" w:hAnsiTheme="minorHAnsi" w:cstheme="minorHAnsi"/>
        <w:i/>
        <w:iCs/>
        <w:spacing w:val="-3"/>
        <w:sz w:val="14"/>
        <w:szCs w:val="14"/>
        <w:lang w:val="es-DO"/>
      </w:rPr>
    </w:pPr>
  </w:p>
  <w:p w14:paraId="69A16207" w14:textId="77777777" w:rsidR="000D79BD" w:rsidRDefault="000D79BD" w:rsidP="00D15781">
    <w:pPr>
      <w:pStyle w:val="BasicParagraph"/>
      <w:tabs>
        <w:tab w:val="left" w:pos="720"/>
        <w:tab w:val="left" w:pos="1440"/>
        <w:tab w:val="left" w:pos="9109"/>
      </w:tabs>
      <w:contextualSpacing/>
      <w:rPr>
        <w:rFonts w:ascii="Helvetica" w:hAnsi="Helvetica" w:cs="Helvetica"/>
        <w:i/>
        <w:iCs/>
        <w:spacing w:val="-3"/>
        <w:sz w:val="16"/>
        <w:szCs w:val="16"/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510C6"/>
    <w:multiLevelType w:val="hybridMultilevel"/>
    <w:tmpl w:val="40CEAC6A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4E09"/>
    <w:multiLevelType w:val="hybridMultilevel"/>
    <w:tmpl w:val="F5D45DFC"/>
    <w:lvl w:ilvl="0" w:tplc="1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E6E08"/>
    <w:multiLevelType w:val="hybridMultilevel"/>
    <w:tmpl w:val="E628507E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B647C"/>
    <w:multiLevelType w:val="hybridMultilevel"/>
    <w:tmpl w:val="388803B4"/>
    <w:lvl w:ilvl="0" w:tplc="94341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65C18"/>
    <w:multiLevelType w:val="hybridMultilevel"/>
    <w:tmpl w:val="7C46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4306D"/>
    <w:multiLevelType w:val="hybridMultilevel"/>
    <w:tmpl w:val="E628507E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9E4807"/>
    <w:multiLevelType w:val="multilevel"/>
    <w:tmpl w:val="7572F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4D7A24"/>
    <w:multiLevelType w:val="multilevel"/>
    <w:tmpl w:val="7B420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89B4D33"/>
    <w:multiLevelType w:val="hybridMultilevel"/>
    <w:tmpl w:val="6078406C"/>
    <w:lvl w:ilvl="0" w:tplc="F0F6A2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534C2"/>
    <w:multiLevelType w:val="hybridMultilevel"/>
    <w:tmpl w:val="4E627184"/>
    <w:lvl w:ilvl="0" w:tplc="1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CF7947"/>
    <w:multiLevelType w:val="hybridMultilevel"/>
    <w:tmpl w:val="F728403E"/>
    <w:lvl w:ilvl="0" w:tplc="1C0A000F">
      <w:start w:val="1"/>
      <w:numFmt w:val="decimal"/>
      <w:lvlText w:val="%1.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241C09"/>
    <w:multiLevelType w:val="hybridMultilevel"/>
    <w:tmpl w:val="388803B4"/>
    <w:lvl w:ilvl="0" w:tplc="94341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4A6DA7"/>
    <w:multiLevelType w:val="hybridMultilevel"/>
    <w:tmpl w:val="388803B4"/>
    <w:lvl w:ilvl="0" w:tplc="94341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37320"/>
    <w:multiLevelType w:val="hybridMultilevel"/>
    <w:tmpl w:val="388803B4"/>
    <w:lvl w:ilvl="0" w:tplc="94341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832C29"/>
    <w:multiLevelType w:val="hybridMultilevel"/>
    <w:tmpl w:val="2648FE2E"/>
    <w:lvl w:ilvl="0" w:tplc="1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788" w:hanging="360"/>
      </w:pPr>
    </w:lvl>
    <w:lvl w:ilvl="2" w:tplc="1C0A001B" w:tentative="1">
      <w:start w:val="1"/>
      <w:numFmt w:val="lowerRoman"/>
      <w:lvlText w:val="%3."/>
      <w:lvlJc w:val="right"/>
      <w:pPr>
        <w:ind w:left="2508" w:hanging="180"/>
      </w:pPr>
    </w:lvl>
    <w:lvl w:ilvl="3" w:tplc="1C0A000F" w:tentative="1">
      <w:start w:val="1"/>
      <w:numFmt w:val="decimal"/>
      <w:lvlText w:val="%4."/>
      <w:lvlJc w:val="left"/>
      <w:pPr>
        <w:ind w:left="3228" w:hanging="360"/>
      </w:pPr>
    </w:lvl>
    <w:lvl w:ilvl="4" w:tplc="1C0A0019" w:tentative="1">
      <w:start w:val="1"/>
      <w:numFmt w:val="lowerLetter"/>
      <w:lvlText w:val="%5."/>
      <w:lvlJc w:val="left"/>
      <w:pPr>
        <w:ind w:left="3948" w:hanging="360"/>
      </w:pPr>
    </w:lvl>
    <w:lvl w:ilvl="5" w:tplc="1C0A001B" w:tentative="1">
      <w:start w:val="1"/>
      <w:numFmt w:val="lowerRoman"/>
      <w:lvlText w:val="%6."/>
      <w:lvlJc w:val="right"/>
      <w:pPr>
        <w:ind w:left="4668" w:hanging="180"/>
      </w:pPr>
    </w:lvl>
    <w:lvl w:ilvl="6" w:tplc="1C0A000F" w:tentative="1">
      <w:start w:val="1"/>
      <w:numFmt w:val="decimal"/>
      <w:lvlText w:val="%7."/>
      <w:lvlJc w:val="left"/>
      <w:pPr>
        <w:ind w:left="5388" w:hanging="360"/>
      </w:pPr>
    </w:lvl>
    <w:lvl w:ilvl="7" w:tplc="1C0A0019" w:tentative="1">
      <w:start w:val="1"/>
      <w:numFmt w:val="lowerLetter"/>
      <w:lvlText w:val="%8."/>
      <w:lvlJc w:val="left"/>
      <w:pPr>
        <w:ind w:left="6108" w:hanging="360"/>
      </w:pPr>
    </w:lvl>
    <w:lvl w:ilvl="8" w:tplc="1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CB2EB1"/>
    <w:multiLevelType w:val="hybridMultilevel"/>
    <w:tmpl w:val="0380A64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45963">
    <w:abstractNumId w:val="6"/>
  </w:num>
  <w:num w:numId="2" w16cid:durableId="1853101732">
    <w:abstractNumId w:val="0"/>
  </w:num>
  <w:num w:numId="3" w16cid:durableId="1362435164">
    <w:abstractNumId w:val="4"/>
  </w:num>
  <w:num w:numId="4" w16cid:durableId="1582252833">
    <w:abstractNumId w:val="10"/>
  </w:num>
  <w:num w:numId="5" w16cid:durableId="1042753822">
    <w:abstractNumId w:val="5"/>
  </w:num>
  <w:num w:numId="6" w16cid:durableId="97213369">
    <w:abstractNumId w:val="2"/>
  </w:num>
  <w:num w:numId="7" w16cid:durableId="182600640">
    <w:abstractNumId w:val="1"/>
  </w:num>
  <w:num w:numId="8" w16cid:durableId="310331559">
    <w:abstractNumId w:val="8"/>
  </w:num>
  <w:num w:numId="9" w16cid:durableId="1492334970">
    <w:abstractNumId w:val="14"/>
  </w:num>
  <w:num w:numId="10" w16cid:durableId="738676562">
    <w:abstractNumId w:val="13"/>
  </w:num>
  <w:num w:numId="11" w16cid:durableId="1183589307">
    <w:abstractNumId w:val="12"/>
  </w:num>
  <w:num w:numId="12" w16cid:durableId="1669015432">
    <w:abstractNumId w:val="3"/>
  </w:num>
  <w:num w:numId="13" w16cid:durableId="1615016211">
    <w:abstractNumId w:val="11"/>
  </w:num>
  <w:num w:numId="14" w16cid:durableId="1795245473">
    <w:abstractNumId w:val="9"/>
  </w:num>
  <w:num w:numId="15" w16cid:durableId="1645895053">
    <w:abstractNumId w:val="7"/>
  </w:num>
  <w:num w:numId="16" w16cid:durableId="1756126314">
    <w:abstractNumId w:val="15"/>
  </w:num>
  <w:num w:numId="17" w16cid:durableId="1553006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62"/>
    <w:rsid w:val="000001F8"/>
    <w:rsid w:val="00001303"/>
    <w:rsid w:val="000015C2"/>
    <w:rsid w:val="000026C9"/>
    <w:rsid w:val="00002FBC"/>
    <w:rsid w:val="000037FA"/>
    <w:rsid w:val="00005637"/>
    <w:rsid w:val="000065EF"/>
    <w:rsid w:val="00007D50"/>
    <w:rsid w:val="0001210E"/>
    <w:rsid w:val="00012FFE"/>
    <w:rsid w:val="0001313A"/>
    <w:rsid w:val="000146C1"/>
    <w:rsid w:val="000157AB"/>
    <w:rsid w:val="000157F2"/>
    <w:rsid w:val="00015A34"/>
    <w:rsid w:val="000161C0"/>
    <w:rsid w:val="000169E6"/>
    <w:rsid w:val="00021D29"/>
    <w:rsid w:val="0002365B"/>
    <w:rsid w:val="00023706"/>
    <w:rsid w:val="000239E6"/>
    <w:rsid w:val="000241B8"/>
    <w:rsid w:val="000242E2"/>
    <w:rsid w:val="000243A5"/>
    <w:rsid w:val="00027389"/>
    <w:rsid w:val="00033378"/>
    <w:rsid w:val="00037257"/>
    <w:rsid w:val="00041A20"/>
    <w:rsid w:val="00041F05"/>
    <w:rsid w:val="000420D6"/>
    <w:rsid w:val="000421AE"/>
    <w:rsid w:val="00045D16"/>
    <w:rsid w:val="0004737C"/>
    <w:rsid w:val="000527AF"/>
    <w:rsid w:val="000529E7"/>
    <w:rsid w:val="000536DD"/>
    <w:rsid w:val="0005566E"/>
    <w:rsid w:val="00056357"/>
    <w:rsid w:val="00056E62"/>
    <w:rsid w:val="00061612"/>
    <w:rsid w:val="000665AF"/>
    <w:rsid w:val="0006689C"/>
    <w:rsid w:val="00067A46"/>
    <w:rsid w:val="000712CB"/>
    <w:rsid w:val="0007173C"/>
    <w:rsid w:val="00072142"/>
    <w:rsid w:val="00072E4C"/>
    <w:rsid w:val="00073231"/>
    <w:rsid w:val="0007359C"/>
    <w:rsid w:val="000745CD"/>
    <w:rsid w:val="000745F8"/>
    <w:rsid w:val="0007540A"/>
    <w:rsid w:val="00081379"/>
    <w:rsid w:val="00081B1F"/>
    <w:rsid w:val="00082025"/>
    <w:rsid w:val="00082D05"/>
    <w:rsid w:val="00082D21"/>
    <w:rsid w:val="0008344E"/>
    <w:rsid w:val="00083B83"/>
    <w:rsid w:val="00084E6C"/>
    <w:rsid w:val="00085865"/>
    <w:rsid w:val="0008639F"/>
    <w:rsid w:val="00086800"/>
    <w:rsid w:val="00090E7A"/>
    <w:rsid w:val="00092A8C"/>
    <w:rsid w:val="000933E6"/>
    <w:rsid w:val="00093CF7"/>
    <w:rsid w:val="000961A6"/>
    <w:rsid w:val="00096B24"/>
    <w:rsid w:val="00097327"/>
    <w:rsid w:val="0009739D"/>
    <w:rsid w:val="00097F3D"/>
    <w:rsid w:val="000A04EE"/>
    <w:rsid w:val="000A10D5"/>
    <w:rsid w:val="000A14EA"/>
    <w:rsid w:val="000A17BA"/>
    <w:rsid w:val="000A1847"/>
    <w:rsid w:val="000A1E6B"/>
    <w:rsid w:val="000A317C"/>
    <w:rsid w:val="000A4C59"/>
    <w:rsid w:val="000A6D38"/>
    <w:rsid w:val="000A72A8"/>
    <w:rsid w:val="000B02FC"/>
    <w:rsid w:val="000B07B9"/>
    <w:rsid w:val="000B1C5F"/>
    <w:rsid w:val="000B2017"/>
    <w:rsid w:val="000B6E6D"/>
    <w:rsid w:val="000B7ECE"/>
    <w:rsid w:val="000C0390"/>
    <w:rsid w:val="000C0C9C"/>
    <w:rsid w:val="000C30DD"/>
    <w:rsid w:val="000C314D"/>
    <w:rsid w:val="000C3805"/>
    <w:rsid w:val="000C3DB1"/>
    <w:rsid w:val="000C52BA"/>
    <w:rsid w:val="000C646B"/>
    <w:rsid w:val="000C794E"/>
    <w:rsid w:val="000D05BC"/>
    <w:rsid w:val="000D1238"/>
    <w:rsid w:val="000D1C98"/>
    <w:rsid w:val="000D1CD2"/>
    <w:rsid w:val="000D20F9"/>
    <w:rsid w:val="000D24CD"/>
    <w:rsid w:val="000D25BE"/>
    <w:rsid w:val="000D3C04"/>
    <w:rsid w:val="000D4A0A"/>
    <w:rsid w:val="000D5B6F"/>
    <w:rsid w:val="000D7500"/>
    <w:rsid w:val="000D79BD"/>
    <w:rsid w:val="000E1D4D"/>
    <w:rsid w:val="000E2EDC"/>
    <w:rsid w:val="000E4F78"/>
    <w:rsid w:val="000E5433"/>
    <w:rsid w:val="000E5452"/>
    <w:rsid w:val="000E5BB2"/>
    <w:rsid w:val="000E5EAC"/>
    <w:rsid w:val="000E6263"/>
    <w:rsid w:val="000E6499"/>
    <w:rsid w:val="000E6951"/>
    <w:rsid w:val="000E700F"/>
    <w:rsid w:val="000E7382"/>
    <w:rsid w:val="000F2131"/>
    <w:rsid w:val="000F3491"/>
    <w:rsid w:val="000F49F0"/>
    <w:rsid w:val="000F4B43"/>
    <w:rsid w:val="000F7AA3"/>
    <w:rsid w:val="000F7BED"/>
    <w:rsid w:val="00101558"/>
    <w:rsid w:val="00102645"/>
    <w:rsid w:val="001040CA"/>
    <w:rsid w:val="00104728"/>
    <w:rsid w:val="001047AA"/>
    <w:rsid w:val="00105D4E"/>
    <w:rsid w:val="00105EF5"/>
    <w:rsid w:val="0010767F"/>
    <w:rsid w:val="001077D8"/>
    <w:rsid w:val="00107826"/>
    <w:rsid w:val="0011161D"/>
    <w:rsid w:val="0011169A"/>
    <w:rsid w:val="00112255"/>
    <w:rsid w:val="001129B9"/>
    <w:rsid w:val="00116113"/>
    <w:rsid w:val="001171C2"/>
    <w:rsid w:val="001172D4"/>
    <w:rsid w:val="00117D15"/>
    <w:rsid w:val="00120392"/>
    <w:rsid w:val="00120476"/>
    <w:rsid w:val="00120E87"/>
    <w:rsid w:val="00121A69"/>
    <w:rsid w:val="00121C71"/>
    <w:rsid w:val="00123066"/>
    <w:rsid w:val="00123692"/>
    <w:rsid w:val="0012375F"/>
    <w:rsid w:val="00123E4A"/>
    <w:rsid w:val="00125A56"/>
    <w:rsid w:val="001266D0"/>
    <w:rsid w:val="001324AD"/>
    <w:rsid w:val="00132CD1"/>
    <w:rsid w:val="00133486"/>
    <w:rsid w:val="00134796"/>
    <w:rsid w:val="00134D23"/>
    <w:rsid w:val="00136DD9"/>
    <w:rsid w:val="001376F1"/>
    <w:rsid w:val="00140621"/>
    <w:rsid w:val="00145E3D"/>
    <w:rsid w:val="00146F32"/>
    <w:rsid w:val="00150993"/>
    <w:rsid w:val="0015147B"/>
    <w:rsid w:val="001516F8"/>
    <w:rsid w:val="00153211"/>
    <w:rsid w:val="00153C00"/>
    <w:rsid w:val="00153EE6"/>
    <w:rsid w:val="00155E56"/>
    <w:rsid w:val="0015752E"/>
    <w:rsid w:val="00161417"/>
    <w:rsid w:val="0016294F"/>
    <w:rsid w:val="001657EC"/>
    <w:rsid w:val="00166703"/>
    <w:rsid w:val="001669D5"/>
    <w:rsid w:val="001679D8"/>
    <w:rsid w:val="00170064"/>
    <w:rsid w:val="001700CB"/>
    <w:rsid w:val="00170D1E"/>
    <w:rsid w:val="00171AC3"/>
    <w:rsid w:val="001741CB"/>
    <w:rsid w:val="00175A48"/>
    <w:rsid w:val="00176911"/>
    <w:rsid w:val="001808B1"/>
    <w:rsid w:val="00180C55"/>
    <w:rsid w:val="00181C4E"/>
    <w:rsid w:val="001831F2"/>
    <w:rsid w:val="0018320E"/>
    <w:rsid w:val="00183F04"/>
    <w:rsid w:val="00183FFE"/>
    <w:rsid w:val="0018496D"/>
    <w:rsid w:val="00184F2A"/>
    <w:rsid w:val="0018658F"/>
    <w:rsid w:val="00191788"/>
    <w:rsid w:val="00193FB6"/>
    <w:rsid w:val="00194FCC"/>
    <w:rsid w:val="0019740D"/>
    <w:rsid w:val="001A10A2"/>
    <w:rsid w:val="001A2F3D"/>
    <w:rsid w:val="001A375B"/>
    <w:rsid w:val="001A545C"/>
    <w:rsid w:val="001A6EED"/>
    <w:rsid w:val="001B0F8D"/>
    <w:rsid w:val="001B278C"/>
    <w:rsid w:val="001B2FEB"/>
    <w:rsid w:val="001B3415"/>
    <w:rsid w:val="001B371A"/>
    <w:rsid w:val="001B3AB1"/>
    <w:rsid w:val="001B4034"/>
    <w:rsid w:val="001B56C7"/>
    <w:rsid w:val="001B5CD7"/>
    <w:rsid w:val="001B72EF"/>
    <w:rsid w:val="001C0107"/>
    <w:rsid w:val="001C0923"/>
    <w:rsid w:val="001C1B76"/>
    <w:rsid w:val="001C24BA"/>
    <w:rsid w:val="001C34A5"/>
    <w:rsid w:val="001C4595"/>
    <w:rsid w:val="001C4DEA"/>
    <w:rsid w:val="001C53AC"/>
    <w:rsid w:val="001C5C59"/>
    <w:rsid w:val="001C5CCD"/>
    <w:rsid w:val="001C613C"/>
    <w:rsid w:val="001C7BFB"/>
    <w:rsid w:val="001C7BFD"/>
    <w:rsid w:val="001D2543"/>
    <w:rsid w:val="001D2CF5"/>
    <w:rsid w:val="001D36E2"/>
    <w:rsid w:val="001D3CC3"/>
    <w:rsid w:val="001D3EDF"/>
    <w:rsid w:val="001D43CA"/>
    <w:rsid w:val="001D68C2"/>
    <w:rsid w:val="001D697B"/>
    <w:rsid w:val="001D7034"/>
    <w:rsid w:val="001E1C1C"/>
    <w:rsid w:val="001E1CE0"/>
    <w:rsid w:val="001E4184"/>
    <w:rsid w:val="001E5DE7"/>
    <w:rsid w:val="001E5EA3"/>
    <w:rsid w:val="001E79D6"/>
    <w:rsid w:val="001E7EE2"/>
    <w:rsid w:val="001F0BC0"/>
    <w:rsid w:val="001F1285"/>
    <w:rsid w:val="001F21DB"/>
    <w:rsid w:val="001F3F8F"/>
    <w:rsid w:val="001F451E"/>
    <w:rsid w:val="001F6EA7"/>
    <w:rsid w:val="002025F1"/>
    <w:rsid w:val="00202909"/>
    <w:rsid w:val="0020309E"/>
    <w:rsid w:val="002057F9"/>
    <w:rsid w:val="00207D73"/>
    <w:rsid w:val="0021124C"/>
    <w:rsid w:val="002139EA"/>
    <w:rsid w:val="00213A13"/>
    <w:rsid w:val="00214021"/>
    <w:rsid w:val="002143C3"/>
    <w:rsid w:val="00216292"/>
    <w:rsid w:val="00217144"/>
    <w:rsid w:val="002211ED"/>
    <w:rsid w:val="00221E8F"/>
    <w:rsid w:val="00225048"/>
    <w:rsid w:val="002251A4"/>
    <w:rsid w:val="002252B8"/>
    <w:rsid w:val="00225776"/>
    <w:rsid w:val="00227300"/>
    <w:rsid w:val="00232220"/>
    <w:rsid w:val="00233923"/>
    <w:rsid w:val="00235819"/>
    <w:rsid w:val="00235E84"/>
    <w:rsid w:val="00236081"/>
    <w:rsid w:val="00236ED3"/>
    <w:rsid w:val="00236FC6"/>
    <w:rsid w:val="00237107"/>
    <w:rsid w:val="0023799A"/>
    <w:rsid w:val="00241174"/>
    <w:rsid w:val="00241B3F"/>
    <w:rsid w:val="00241E9A"/>
    <w:rsid w:val="00242197"/>
    <w:rsid w:val="00242DC6"/>
    <w:rsid w:val="00245271"/>
    <w:rsid w:val="00247F88"/>
    <w:rsid w:val="00247F9C"/>
    <w:rsid w:val="00251E62"/>
    <w:rsid w:val="00252C1A"/>
    <w:rsid w:val="00253B7B"/>
    <w:rsid w:val="0025556A"/>
    <w:rsid w:val="0025568F"/>
    <w:rsid w:val="002565AD"/>
    <w:rsid w:val="00256BA7"/>
    <w:rsid w:val="00256C63"/>
    <w:rsid w:val="00257095"/>
    <w:rsid w:val="00257434"/>
    <w:rsid w:val="002605E6"/>
    <w:rsid w:val="00263B42"/>
    <w:rsid w:val="0026447A"/>
    <w:rsid w:val="00264F10"/>
    <w:rsid w:val="00265E8C"/>
    <w:rsid w:val="00266F70"/>
    <w:rsid w:val="002672A2"/>
    <w:rsid w:val="0026771A"/>
    <w:rsid w:val="00267BB5"/>
    <w:rsid w:val="00272D70"/>
    <w:rsid w:val="00272EE3"/>
    <w:rsid w:val="00273025"/>
    <w:rsid w:val="00273AAC"/>
    <w:rsid w:val="00273C6F"/>
    <w:rsid w:val="00274BC3"/>
    <w:rsid w:val="0027522D"/>
    <w:rsid w:val="002754D5"/>
    <w:rsid w:val="00276892"/>
    <w:rsid w:val="00276A4D"/>
    <w:rsid w:val="00276A6F"/>
    <w:rsid w:val="00280E16"/>
    <w:rsid w:val="002834D4"/>
    <w:rsid w:val="002855BF"/>
    <w:rsid w:val="00285A77"/>
    <w:rsid w:val="00285E12"/>
    <w:rsid w:val="00287331"/>
    <w:rsid w:val="00290B32"/>
    <w:rsid w:val="00291136"/>
    <w:rsid w:val="00292420"/>
    <w:rsid w:val="002924FE"/>
    <w:rsid w:val="00292EBE"/>
    <w:rsid w:val="0029376E"/>
    <w:rsid w:val="00293EEC"/>
    <w:rsid w:val="00294F1D"/>
    <w:rsid w:val="002A050F"/>
    <w:rsid w:val="002A0F18"/>
    <w:rsid w:val="002A15DB"/>
    <w:rsid w:val="002A1762"/>
    <w:rsid w:val="002A1FEB"/>
    <w:rsid w:val="002A2197"/>
    <w:rsid w:val="002A271D"/>
    <w:rsid w:val="002A40FF"/>
    <w:rsid w:val="002B00CF"/>
    <w:rsid w:val="002B0244"/>
    <w:rsid w:val="002B07BA"/>
    <w:rsid w:val="002B0DFC"/>
    <w:rsid w:val="002B1C6C"/>
    <w:rsid w:val="002B23E6"/>
    <w:rsid w:val="002B31C1"/>
    <w:rsid w:val="002B7215"/>
    <w:rsid w:val="002B7C27"/>
    <w:rsid w:val="002C06A3"/>
    <w:rsid w:val="002C1F49"/>
    <w:rsid w:val="002C4AF4"/>
    <w:rsid w:val="002C508A"/>
    <w:rsid w:val="002C5296"/>
    <w:rsid w:val="002C66D2"/>
    <w:rsid w:val="002C69D9"/>
    <w:rsid w:val="002C6A78"/>
    <w:rsid w:val="002C6B26"/>
    <w:rsid w:val="002C6ECF"/>
    <w:rsid w:val="002C6FA4"/>
    <w:rsid w:val="002C7671"/>
    <w:rsid w:val="002D0915"/>
    <w:rsid w:val="002D1110"/>
    <w:rsid w:val="002D28F1"/>
    <w:rsid w:val="002D2F53"/>
    <w:rsid w:val="002D317D"/>
    <w:rsid w:val="002D7235"/>
    <w:rsid w:val="002E0337"/>
    <w:rsid w:val="002E1FAD"/>
    <w:rsid w:val="002E22A4"/>
    <w:rsid w:val="002E469D"/>
    <w:rsid w:val="002E4780"/>
    <w:rsid w:val="002E4C6A"/>
    <w:rsid w:val="002E62BD"/>
    <w:rsid w:val="002E7522"/>
    <w:rsid w:val="002E7898"/>
    <w:rsid w:val="002F1A03"/>
    <w:rsid w:val="002F21BE"/>
    <w:rsid w:val="002F3F36"/>
    <w:rsid w:val="002F4230"/>
    <w:rsid w:val="002F6711"/>
    <w:rsid w:val="002F7A22"/>
    <w:rsid w:val="00300A45"/>
    <w:rsid w:val="00300FDE"/>
    <w:rsid w:val="00301975"/>
    <w:rsid w:val="00301C4F"/>
    <w:rsid w:val="0030299E"/>
    <w:rsid w:val="00303031"/>
    <w:rsid w:val="00304982"/>
    <w:rsid w:val="00305BF5"/>
    <w:rsid w:val="00305F02"/>
    <w:rsid w:val="00306C72"/>
    <w:rsid w:val="00307801"/>
    <w:rsid w:val="0031319D"/>
    <w:rsid w:val="003134A6"/>
    <w:rsid w:val="0031425B"/>
    <w:rsid w:val="003177ED"/>
    <w:rsid w:val="00317A79"/>
    <w:rsid w:val="00321EA4"/>
    <w:rsid w:val="00322AE8"/>
    <w:rsid w:val="0032620A"/>
    <w:rsid w:val="00333662"/>
    <w:rsid w:val="00333761"/>
    <w:rsid w:val="00334EBC"/>
    <w:rsid w:val="0033681D"/>
    <w:rsid w:val="00336952"/>
    <w:rsid w:val="00336BFA"/>
    <w:rsid w:val="00341C05"/>
    <w:rsid w:val="0034444F"/>
    <w:rsid w:val="00345AEA"/>
    <w:rsid w:val="0034644A"/>
    <w:rsid w:val="00346951"/>
    <w:rsid w:val="00346E46"/>
    <w:rsid w:val="00346E9D"/>
    <w:rsid w:val="00347734"/>
    <w:rsid w:val="00347DB2"/>
    <w:rsid w:val="0035231F"/>
    <w:rsid w:val="00352FB2"/>
    <w:rsid w:val="00360C56"/>
    <w:rsid w:val="00361709"/>
    <w:rsid w:val="0036189F"/>
    <w:rsid w:val="00361CC0"/>
    <w:rsid w:val="00365F35"/>
    <w:rsid w:val="003663F7"/>
    <w:rsid w:val="003666D2"/>
    <w:rsid w:val="00367B0B"/>
    <w:rsid w:val="00367EEF"/>
    <w:rsid w:val="00370AE7"/>
    <w:rsid w:val="00372048"/>
    <w:rsid w:val="003746A6"/>
    <w:rsid w:val="0037493E"/>
    <w:rsid w:val="00374955"/>
    <w:rsid w:val="00374B2D"/>
    <w:rsid w:val="00375267"/>
    <w:rsid w:val="00376499"/>
    <w:rsid w:val="00376BCD"/>
    <w:rsid w:val="00377C18"/>
    <w:rsid w:val="00381D69"/>
    <w:rsid w:val="0038207E"/>
    <w:rsid w:val="0038259D"/>
    <w:rsid w:val="0038289F"/>
    <w:rsid w:val="00384112"/>
    <w:rsid w:val="00384F4E"/>
    <w:rsid w:val="00384F9E"/>
    <w:rsid w:val="00385FC9"/>
    <w:rsid w:val="00386E4D"/>
    <w:rsid w:val="00387145"/>
    <w:rsid w:val="00391A7D"/>
    <w:rsid w:val="00391D0C"/>
    <w:rsid w:val="00391E90"/>
    <w:rsid w:val="00397D13"/>
    <w:rsid w:val="003A063C"/>
    <w:rsid w:val="003A18C6"/>
    <w:rsid w:val="003A1C1A"/>
    <w:rsid w:val="003A1DD7"/>
    <w:rsid w:val="003A3496"/>
    <w:rsid w:val="003A3831"/>
    <w:rsid w:val="003A5BF5"/>
    <w:rsid w:val="003A5CDF"/>
    <w:rsid w:val="003A74E0"/>
    <w:rsid w:val="003B0AD3"/>
    <w:rsid w:val="003B25F7"/>
    <w:rsid w:val="003B2892"/>
    <w:rsid w:val="003B2AB1"/>
    <w:rsid w:val="003B3038"/>
    <w:rsid w:val="003B3DDA"/>
    <w:rsid w:val="003B516A"/>
    <w:rsid w:val="003B585D"/>
    <w:rsid w:val="003C0350"/>
    <w:rsid w:val="003C252D"/>
    <w:rsid w:val="003C290B"/>
    <w:rsid w:val="003C3E11"/>
    <w:rsid w:val="003C5CDB"/>
    <w:rsid w:val="003D0646"/>
    <w:rsid w:val="003D1565"/>
    <w:rsid w:val="003D334A"/>
    <w:rsid w:val="003D390A"/>
    <w:rsid w:val="003D3AF3"/>
    <w:rsid w:val="003D5379"/>
    <w:rsid w:val="003D5471"/>
    <w:rsid w:val="003D5865"/>
    <w:rsid w:val="003D61A7"/>
    <w:rsid w:val="003D70B8"/>
    <w:rsid w:val="003D766F"/>
    <w:rsid w:val="003E39B3"/>
    <w:rsid w:val="003E4733"/>
    <w:rsid w:val="003E68FD"/>
    <w:rsid w:val="003F2C46"/>
    <w:rsid w:val="003F7D68"/>
    <w:rsid w:val="004003A7"/>
    <w:rsid w:val="004007F3"/>
    <w:rsid w:val="00401533"/>
    <w:rsid w:val="00401F91"/>
    <w:rsid w:val="0040213C"/>
    <w:rsid w:val="00404026"/>
    <w:rsid w:val="00404869"/>
    <w:rsid w:val="0040563B"/>
    <w:rsid w:val="004062F3"/>
    <w:rsid w:val="00413BDD"/>
    <w:rsid w:val="00415925"/>
    <w:rsid w:val="00416745"/>
    <w:rsid w:val="00416C52"/>
    <w:rsid w:val="00417E8A"/>
    <w:rsid w:val="00420A30"/>
    <w:rsid w:val="004214AA"/>
    <w:rsid w:val="00421914"/>
    <w:rsid w:val="00422A43"/>
    <w:rsid w:val="00424E83"/>
    <w:rsid w:val="004262B2"/>
    <w:rsid w:val="00427670"/>
    <w:rsid w:val="0043086F"/>
    <w:rsid w:val="004321EC"/>
    <w:rsid w:val="00433B17"/>
    <w:rsid w:val="0043449F"/>
    <w:rsid w:val="00435601"/>
    <w:rsid w:val="00435884"/>
    <w:rsid w:val="00440AEC"/>
    <w:rsid w:val="00440B75"/>
    <w:rsid w:val="0044223F"/>
    <w:rsid w:val="004429EF"/>
    <w:rsid w:val="004437ED"/>
    <w:rsid w:val="00447159"/>
    <w:rsid w:val="00451484"/>
    <w:rsid w:val="00451E36"/>
    <w:rsid w:val="004544B0"/>
    <w:rsid w:val="00455B39"/>
    <w:rsid w:val="00455BA9"/>
    <w:rsid w:val="004569C7"/>
    <w:rsid w:val="00457F71"/>
    <w:rsid w:val="00460519"/>
    <w:rsid w:val="00462432"/>
    <w:rsid w:val="00464A92"/>
    <w:rsid w:val="004651A5"/>
    <w:rsid w:val="0046579B"/>
    <w:rsid w:val="00470C31"/>
    <w:rsid w:val="00472CDB"/>
    <w:rsid w:val="00474967"/>
    <w:rsid w:val="004753B8"/>
    <w:rsid w:val="004755C2"/>
    <w:rsid w:val="00475D29"/>
    <w:rsid w:val="00475DB9"/>
    <w:rsid w:val="00476273"/>
    <w:rsid w:val="00476ACD"/>
    <w:rsid w:val="00477A5B"/>
    <w:rsid w:val="00477DCA"/>
    <w:rsid w:val="00477E3B"/>
    <w:rsid w:val="004806D8"/>
    <w:rsid w:val="004821E3"/>
    <w:rsid w:val="004827E2"/>
    <w:rsid w:val="00484898"/>
    <w:rsid w:val="00485AF6"/>
    <w:rsid w:val="00486B4C"/>
    <w:rsid w:val="0049013F"/>
    <w:rsid w:val="00493A7D"/>
    <w:rsid w:val="004964FF"/>
    <w:rsid w:val="004973E6"/>
    <w:rsid w:val="004A0BF2"/>
    <w:rsid w:val="004A4D52"/>
    <w:rsid w:val="004A4E9B"/>
    <w:rsid w:val="004A5079"/>
    <w:rsid w:val="004A790A"/>
    <w:rsid w:val="004B10A1"/>
    <w:rsid w:val="004B2980"/>
    <w:rsid w:val="004B33F3"/>
    <w:rsid w:val="004B3693"/>
    <w:rsid w:val="004B3718"/>
    <w:rsid w:val="004B6216"/>
    <w:rsid w:val="004B6673"/>
    <w:rsid w:val="004B7F5D"/>
    <w:rsid w:val="004C1B2D"/>
    <w:rsid w:val="004C2FFD"/>
    <w:rsid w:val="004C4CB0"/>
    <w:rsid w:val="004C5CA0"/>
    <w:rsid w:val="004C5F6B"/>
    <w:rsid w:val="004C68C5"/>
    <w:rsid w:val="004C69B4"/>
    <w:rsid w:val="004D1020"/>
    <w:rsid w:val="004D1D11"/>
    <w:rsid w:val="004D3B71"/>
    <w:rsid w:val="004D3E9A"/>
    <w:rsid w:val="004D52E9"/>
    <w:rsid w:val="004D548B"/>
    <w:rsid w:val="004D5723"/>
    <w:rsid w:val="004D6D64"/>
    <w:rsid w:val="004D7AC9"/>
    <w:rsid w:val="004D7B7A"/>
    <w:rsid w:val="004E2441"/>
    <w:rsid w:val="004E2E54"/>
    <w:rsid w:val="004E454A"/>
    <w:rsid w:val="004E531D"/>
    <w:rsid w:val="004F001F"/>
    <w:rsid w:val="004F04C2"/>
    <w:rsid w:val="004F0F7A"/>
    <w:rsid w:val="004F2B03"/>
    <w:rsid w:val="004F42EF"/>
    <w:rsid w:val="004F4680"/>
    <w:rsid w:val="004F51A8"/>
    <w:rsid w:val="005001EE"/>
    <w:rsid w:val="00500852"/>
    <w:rsid w:val="00501BCA"/>
    <w:rsid w:val="00502762"/>
    <w:rsid w:val="005050B7"/>
    <w:rsid w:val="00505ECE"/>
    <w:rsid w:val="0050624B"/>
    <w:rsid w:val="005077C3"/>
    <w:rsid w:val="00510789"/>
    <w:rsid w:val="00511110"/>
    <w:rsid w:val="00511E60"/>
    <w:rsid w:val="00513D0F"/>
    <w:rsid w:val="00514BDE"/>
    <w:rsid w:val="00514FAE"/>
    <w:rsid w:val="00515A77"/>
    <w:rsid w:val="00517F91"/>
    <w:rsid w:val="005209E7"/>
    <w:rsid w:val="0052132D"/>
    <w:rsid w:val="00521728"/>
    <w:rsid w:val="00523022"/>
    <w:rsid w:val="005329B4"/>
    <w:rsid w:val="00534DDE"/>
    <w:rsid w:val="005350B4"/>
    <w:rsid w:val="00535F52"/>
    <w:rsid w:val="0053678E"/>
    <w:rsid w:val="00537AA0"/>
    <w:rsid w:val="005406A2"/>
    <w:rsid w:val="0054199B"/>
    <w:rsid w:val="00541D03"/>
    <w:rsid w:val="0054322A"/>
    <w:rsid w:val="0054465D"/>
    <w:rsid w:val="0054478A"/>
    <w:rsid w:val="00544D2E"/>
    <w:rsid w:val="00545680"/>
    <w:rsid w:val="005462E0"/>
    <w:rsid w:val="00546560"/>
    <w:rsid w:val="0055040B"/>
    <w:rsid w:val="00551D6D"/>
    <w:rsid w:val="0055285A"/>
    <w:rsid w:val="0055359D"/>
    <w:rsid w:val="005554AC"/>
    <w:rsid w:val="00555605"/>
    <w:rsid w:val="00556B6E"/>
    <w:rsid w:val="00560C46"/>
    <w:rsid w:val="00563D65"/>
    <w:rsid w:val="00563FDB"/>
    <w:rsid w:val="00564A5D"/>
    <w:rsid w:val="00566F0F"/>
    <w:rsid w:val="00573FF4"/>
    <w:rsid w:val="0057540A"/>
    <w:rsid w:val="00576814"/>
    <w:rsid w:val="005770F3"/>
    <w:rsid w:val="00577AE2"/>
    <w:rsid w:val="005805FB"/>
    <w:rsid w:val="00580D42"/>
    <w:rsid w:val="00580D4B"/>
    <w:rsid w:val="005826C0"/>
    <w:rsid w:val="00583958"/>
    <w:rsid w:val="00583DED"/>
    <w:rsid w:val="00584063"/>
    <w:rsid w:val="00584264"/>
    <w:rsid w:val="00584DAD"/>
    <w:rsid w:val="00585F48"/>
    <w:rsid w:val="005871CD"/>
    <w:rsid w:val="00590543"/>
    <w:rsid w:val="00590A11"/>
    <w:rsid w:val="00590E60"/>
    <w:rsid w:val="0059153A"/>
    <w:rsid w:val="00592714"/>
    <w:rsid w:val="00593205"/>
    <w:rsid w:val="00593AAE"/>
    <w:rsid w:val="0059520F"/>
    <w:rsid w:val="005959EF"/>
    <w:rsid w:val="00596452"/>
    <w:rsid w:val="00596A69"/>
    <w:rsid w:val="005A106F"/>
    <w:rsid w:val="005A3D74"/>
    <w:rsid w:val="005A439F"/>
    <w:rsid w:val="005B33B2"/>
    <w:rsid w:val="005B4F5C"/>
    <w:rsid w:val="005B5A35"/>
    <w:rsid w:val="005B629E"/>
    <w:rsid w:val="005C1029"/>
    <w:rsid w:val="005C2623"/>
    <w:rsid w:val="005C2709"/>
    <w:rsid w:val="005C47B9"/>
    <w:rsid w:val="005C4F51"/>
    <w:rsid w:val="005C673A"/>
    <w:rsid w:val="005C747B"/>
    <w:rsid w:val="005D0854"/>
    <w:rsid w:val="005D0AA5"/>
    <w:rsid w:val="005D1264"/>
    <w:rsid w:val="005D1CDC"/>
    <w:rsid w:val="005D2EE7"/>
    <w:rsid w:val="005D365F"/>
    <w:rsid w:val="005D50C9"/>
    <w:rsid w:val="005D5CDD"/>
    <w:rsid w:val="005D7463"/>
    <w:rsid w:val="005E0500"/>
    <w:rsid w:val="005E072A"/>
    <w:rsid w:val="005E0A29"/>
    <w:rsid w:val="005E0C2B"/>
    <w:rsid w:val="005E0E4B"/>
    <w:rsid w:val="005E1D52"/>
    <w:rsid w:val="005E2388"/>
    <w:rsid w:val="005E3872"/>
    <w:rsid w:val="005E38C9"/>
    <w:rsid w:val="005E4B6B"/>
    <w:rsid w:val="005E63FC"/>
    <w:rsid w:val="005E668C"/>
    <w:rsid w:val="005F0E04"/>
    <w:rsid w:val="005F21D7"/>
    <w:rsid w:val="005F229B"/>
    <w:rsid w:val="005F3115"/>
    <w:rsid w:val="005F3B5A"/>
    <w:rsid w:val="005F5BCD"/>
    <w:rsid w:val="005F5E72"/>
    <w:rsid w:val="005F7DFF"/>
    <w:rsid w:val="00600B5C"/>
    <w:rsid w:val="00602475"/>
    <w:rsid w:val="006027C9"/>
    <w:rsid w:val="006046A5"/>
    <w:rsid w:val="006047D7"/>
    <w:rsid w:val="00605E3B"/>
    <w:rsid w:val="006066FE"/>
    <w:rsid w:val="00610106"/>
    <w:rsid w:val="00611CB8"/>
    <w:rsid w:val="00611F59"/>
    <w:rsid w:val="006133F8"/>
    <w:rsid w:val="006137B9"/>
    <w:rsid w:val="00617206"/>
    <w:rsid w:val="00617F01"/>
    <w:rsid w:val="00621206"/>
    <w:rsid w:val="00621207"/>
    <w:rsid w:val="00621399"/>
    <w:rsid w:val="006239B8"/>
    <w:rsid w:val="00624521"/>
    <w:rsid w:val="006245DE"/>
    <w:rsid w:val="0062468C"/>
    <w:rsid w:val="0062519C"/>
    <w:rsid w:val="006274A2"/>
    <w:rsid w:val="006343B8"/>
    <w:rsid w:val="0063564D"/>
    <w:rsid w:val="0063633D"/>
    <w:rsid w:val="00636B08"/>
    <w:rsid w:val="00637C3B"/>
    <w:rsid w:val="006401B2"/>
    <w:rsid w:val="00642C3D"/>
    <w:rsid w:val="00643EAA"/>
    <w:rsid w:val="006440E0"/>
    <w:rsid w:val="00645904"/>
    <w:rsid w:val="0064678F"/>
    <w:rsid w:val="00647F95"/>
    <w:rsid w:val="00647FBD"/>
    <w:rsid w:val="00650DDB"/>
    <w:rsid w:val="006514B0"/>
    <w:rsid w:val="006515B4"/>
    <w:rsid w:val="00654440"/>
    <w:rsid w:val="00654B9C"/>
    <w:rsid w:val="00655519"/>
    <w:rsid w:val="0065552F"/>
    <w:rsid w:val="0065560A"/>
    <w:rsid w:val="00657500"/>
    <w:rsid w:val="00660681"/>
    <w:rsid w:val="006608D7"/>
    <w:rsid w:val="0066177F"/>
    <w:rsid w:val="006617A0"/>
    <w:rsid w:val="00661E87"/>
    <w:rsid w:val="006624BE"/>
    <w:rsid w:val="006626CC"/>
    <w:rsid w:val="00662FDE"/>
    <w:rsid w:val="0066313E"/>
    <w:rsid w:val="0066362F"/>
    <w:rsid w:val="0066534F"/>
    <w:rsid w:val="00665AAE"/>
    <w:rsid w:val="00666896"/>
    <w:rsid w:val="00666C46"/>
    <w:rsid w:val="00667384"/>
    <w:rsid w:val="00667B58"/>
    <w:rsid w:val="006704EB"/>
    <w:rsid w:val="0067150B"/>
    <w:rsid w:val="0067255C"/>
    <w:rsid w:val="006743CC"/>
    <w:rsid w:val="00674ABE"/>
    <w:rsid w:val="00681F41"/>
    <w:rsid w:val="0068303D"/>
    <w:rsid w:val="00685238"/>
    <w:rsid w:val="00685F48"/>
    <w:rsid w:val="006867E1"/>
    <w:rsid w:val="00687DEC"/>
    <w:rsid w:val="00691985"/>
    <w:rsid w:val="00693A73"/>
    <w:rsid w:val="00694046"/>
    <w:rsid w:val="00694557"/>
    <w:rsid w:val="0069499E"/>
    <w:rsid w:val="006A016B"/>
    <w:rsid w:val="006A3320"/>
    <w:rsid w:val="006A3AC9"/>
    <w:rsid w:val="006A46B3"/>
    <w:rsid w:val="006A47D5"/>
    <w:rsid w:val="006A69F4"/>
    <w:rsid w:val="006B0043"/>
    <w:rsid w:val="006B04F7"/>
    <w:rsid w:val="006B0E0B"/>
    <w:rsid w:val="006B23B4"/>
    <w:rsid w:val="006B2AD4"/>
    <w:rsid w:val="006B2CFE"/>
    <w:rsid w:val="006B3569"/>
    <w:rsid w:val="006B3D4F"/>
    <w:rsid w:val="006B4DBE"/>
    <w:rsid w:val="006C1C04"/>
    <w:rsid w:val="006C21D6"/>
    <w:rsid w:val="006C2F7E"/>
    <w:rsid w:val="006C3E00"/>
    <w:rsid w:val="006C464F"/>
    <w:rsid w:val="006C6C5F"/>
    <w:rsid w:val="006D0EAB"/>
    <w:rsid w:val="006D11D7"/>
    <w:rsid w:val="006D300C"/>
    <w:rsid w:val="006D3918"/>
    <w:rsid w:val="006D40F0"/>
    <w:rsid w:val="006D4CBF"/>
    <w:rsid w:val="006D597B"/>
    <w:rsid w:val="006D5B91"/>
    <w:rsid w:val="006D5F79"/>
    <w:rsid w:val="006D7937"/>
    <w:rsid w:val="006E0FAD"/>
    <w:rsid w:val="006E14D1"/>
    <w:rsid w:val="006E2CFE"/>
    <w:rsid w:val="006E3F41"/>
    <w:rsid w:val="006E46BC"/>
    <w:rsid w:val="006E4FE1"/>
    <w:rsid w:val="006E53E5"/>
    <w:rsid w:val="006E6A41"/>
    <w:rsid w:val="006E6F40"/>
    <w:rsid w:val="006E747C"/>
    <w:rsid w:val="006E77A9"/>
    <w:rsid w:val="006F1394"/>
    <w:rsid w:val="006F170C"/>
    <w:rsid w:val="006F214F"/>
    <w:rsid w:val="006F29F5"/>
    <w:rsid w:val="006F34CD"/>
    <w:rsid w:val="006F35F2"/>
    <w:rsid w:val="006F7516"/>
    <w:rsid w:val="00701813"/>
    <w:rsid w:val="00705266"/>
    <w:rsid w:val="0070591B"/>
    <w:rsid w:val="007114B7"/>
    <w:rsid w:val="00711FCF"/>
    <w:rsid w:val="00712538"/>
    <w:rsid w:val="00713A66"/>
    <w:rsid w:val="007152E0"/>
    <w:rsid w:val="00715487"/>
    <w:rsid w:val="0071554C"/>
    <w:rsid w:val="007174C3"/>
    <w:rsid w:val="0072032A"/>
    <w:rsid w:val="00722568"/>
    <w:rsid w:val="0072304E"/>
    <w:rsid w:val="007231AB"/>
    <w:rsid w:val="007243A1"/>
    <w:rsid w:val="00724F13"/>
    <w:rsid w:val="00727489"/>
    <w:rsid w:val="0072769D"/>
    <w:rsid w:val="007316CC"/>
    <w:rsid w:val="00731C68"/>
    <w:rsid w:val="00733A46"/>
    <w:rsid w:val="00736960"/>
    <w:rsid w:val="00737A7D"/>
    <w:rsid w:val="00737B3E"/>
    <w:rsid w:val="007434C2"/>
    <w:rsid w:val="0074364C"/>
    <w:rsid w:val="007438EA"/>
    <w:rsid w:val="00744745"/>
    <w:rsid w:val="00745ECF"/>
    <w:rsid w:val="007465A1"/>
    <w:rsid w:val="0074712B"/>
    <w:rsid w:val="007509F1"/>
    <w:rsid w:val="00750AA2"/>
    <w:rsid w:val="007511BC"/>
    <w:rsid w:val="00752261"/>
    <w:rsid w:val="00753216"/>
    <w:rsid w:val="00753CC0"/>
    <w:rsid w:val="00753F24"/>
    <w:rsid w:val="007549E4"/>
    <w:rsid w:val="00754A84"/>
    <w:rsid w:val="00754D18"/>
    <w:rsid w:val="007555E1"/>
    <w:rsid w:val="0075579F"/>
    <w:rsid w:val="00757A04"/>
    <w:rsid w:val="00757EFA"/>
    <w:rsid w:val="00760EEE"/>
    <w:rsid w:val="007620E7"/>
    <w:rsid w:val="00763CEA"/>
    <w:rsid w:val="00764004"/>
    <w:rsid w:val="007657C4"/>
    <w:rsid w:val="00766016"/>
    <w:rsid w:val="00766B0C"/>
    <w:rsid w:val="0077009D"/>
    <w:rsid w:val="00771189"/>
    <w:rsid w:val="007727F6"/>
    <w:rsid w:val="00772DAA"/>
    <w:rsid w:val="0077426E"/>
    <w:rsid w:val="0077617E"/>
    <w:rsid w:val="007763B0"/>
    <w:rsid w:val="00776A73"/>
    <w:rsid w:val="0077722F"/>
    <w:rsid w:val="00777E6D"/>
    <w:rsid w:val="00780BE2"/>
    <w:rsid w:val="00780C4D"/>
    <w:rsid w:val="00780F47"/>
    <w:rsid w:val="00781114"/>
    <w:rsid w:val="007825DE"/>
    <w:rsid w:val="00782FD6"/>
    <w:rsid w:val="00783335"/>
    <w:rsid w:val="00783C1D"/>
    <w:rsid w:val="00783FD9"/>
    <w:rsid w:val="0078538E"/>
    <w:rsid w:val="00785B7A"/>
    <w:rsid w:val="00787D70"/>
    <w:rsid w:val="00790912"/>
    <w:rsid w:val="00793FE3"/>
    <w:rsid w:val="00794DEC"/>
    <w:rsid w:val="00796563"/>
    <w:rsid w:val="007966FE"/>
    <w:rsid w:val="00796ABB"/>
    <w:rsid w:val="00796DB7"/>
    <w:rsid w:val="00796FCB"/>
    <w:rsid w:val="00797B8A"/>
    <w:rsid w:val="007A0E05"/>
    <w:rsid w:val="007A1387"/>
    <w:rsid w:val="007A1650"/>
    <w:rsid w:val="007A2033"/>
    <w:rsid w:val="007A26C3"/>
    <w:rsid w:val="007A2B9E"/>
    <w:rsid w:val="007A2F5C"/>
    <w:rsid w:val="007A302E"/>
    <w:rsid w:val="007A3C29"/>
    <w:rsid w:val="007A5993"/>
    <w:rsid w:val="007A62DD"/>
    <w:rsid w:val="007A678C"/>
    <w:rsid w:val="007A79C2"/>
    <w:rsid w:val="007A7CB8"/>
    <w:rsid w:val="007B082D"/>
    <w:rsid w:val="007B099A"/>
    <w:rsid w:val="007B0C75"/>
    <w:rsid w:val="007B28DD"/>
    <w:rsid w:val="007B2B19"/>
    <w:rsid w:val="007B3550"/>
    <w:rsid w:val="007B3F3B"/>
    <w:rsid w:val="007B55EE"/>
    <w:rsid w:val="007B5BAD"/>
    <w:rsid w:val="007B79F8"/>
    <w:rsid w:val="007C283E"/>
    <w:rsid w:val="007C3993"/>
    <w:rsid w:val="007C58C8"/>
    <w:rsid w:val="007C5A5E"/>
    <w:rsid w:val="007C5FA3"/>
    <w:rsid w:val="007C65A3"/>
    <w:rsid w:val="007D024E"/>
    <w:rsid w:val="007D0524"/>
    <w:rsid w:val="007D140F"/>
    <w:rsid w:val="007D1E31"/>
    <w:rsid w:val="007D1E38"/>
    <w:rsid w:val="007D5890"/>
    <w:rsid w:val="007D5A14"/>
    <w:rsid w:val="007D69AD"/>
    <w:rsid w:val="007D7526"/>
    <w:rsid w:val="007D7660"/>
    <w:rsid w:val="007E0F5D"/>
    <w:rsid w:val="007E351E"/>
    <w:rsid w:val="007E45E3"/>
    <w:rsid w:val="007E7FE2"/>
    <w:rsid w:val="007F0304"/>
    <w:rsid w:val="007F0657"/>
    <w:rsid w:val="007F1685"/>
    <w:rsid w:val="007F249D"/>
    <w:rsid w:val="007F3E24"/>
    <w:rsid w:val="007F4B7C"/>
    <w:rsid w:val="007F4BAD"/>
    <w:rsid w:val="007F500E"/>
    <w:rsid w:val="007F6C5F"/>
    <w:rsid w:val="007F7365"/>
    <w:rsid w:val="008000B2"/>
    <w:rsid w:val="008014E6"/>
    <w:rsid w:val="008016CE"/>
    <w:rsid w:val="00801F5F"/>
    <w:rsid w:val="0080457C"/>
    <w:rsid w:val="00806278"/>
    <w:rsid w:val="008102EE"/>
    <w:rsid w:val="00810A2E"/>
    <w:rsid w:val="00810C6A"/>
    <w:rsid w:val="00813D34"/>
    <w:rsid w:val="00814F65"/>
    <w:rsid w:val="00815406"/>
    <w:rsid w:val="008160D4"/>
    <w:rsid w:val="00816A13"/>
    <w:rsid w:val="00816AAE"/>
    <w:rsid w:val="00816C14"/>
    <w:rsid w:val="00816E16"/>
    <w:rsid w:val="00821A97"/>
    <w:rsid w:val="0082255F"/>
    <w:rsid w:val="008243F0"/>
    <w:rsid w:val="00824A2E"/>
    <w:rsid w:val="00825F6F"/>
    <w:rsid w:val="00826791"/>
    <w:rsid w:val="00826996"/>
    <w:rsid w:val="00826D9A"/>
    <w:rsid w:val="0082703A"/>
    <w:rsid w:val="00831AF1"/>
    <w:rsid w:val="00831D26"/>
    <w:rsid w:val="008321CC"/>
    <w:rsid w:val="008332B8"/>
    <w:rsid w:val="00833D17"/>
    <w:rsid w:val="00835015"/>
    <w:rsid w:val="00835BE6"/>
    <w:rsid w:val="00835F9E"/>
    <w:rsid w:val="00836257"/>
    <w:rsid w:val="008375E4"/>
    <w:rsid w:val="0083797F"/>
    <w:rsid w:val="00837985"/>
    <w:rsid w:val="008419CA"/>
    <w:rsid w:val="0084223B"/>
    <w:rsid w:val="00842885"/>
    <w:rsid w:val="00842E7D"/>
    <w:rsid w:val="00842F2F"/>
    <w:rsid w:val="008444BA"/>
    <w:rsid w:val="0084579B"/>
    <w:rsid w:val="0084701D"/>
    <w:rsid w:val="008474D8"/>
    <w:rsid w:val="008476BF"/>
    <w:rsid w:val="008477A3"/>
    <w:rsid w:val="00850816"/>
    <w:rsid w:val="00850F1A"/>
    <w:rsid w:val="00852311"/>
    <w:rsid w:val="00852776"/>
    <w:rsid w:val="00853923"/>
    <w:rsid w:val="008549C1"/>
    <w:rsid w:val="00854B1B"/>
    <w:rsid w:val="00854C9C"/>
    <w:rsid w:val="00855E05"/>
    <w:rsid w:val="008564A6"/>
    <w:rsid w:val="00856737"/>
    <w:rsid w:val="00856A4C"/>
    <w:rsid w:val="00857749"/>
    <w:rsid w:val="008611D9"/>
    <w:rsid w:val="008617B6"/>
    <w:rsid w:val="008620D1"/>
    <w:rsid w:val="00863071"/>
    <w:rsid w:val="00863D4C"/>
    <w:rsid w:val="008656C7"/>
    <w:rsid w:val="00866B9E"/>
    <w:rsid w:val="00870916"/>
    <w:rsid w:val="008717ED"/>
    <w:rsid w:val="00872FF9"/>
    <w:rsid w:val="00874B3E"/>
    <w:rsid w:val="0087567C"/>
    <w:rsid w:val="00877157"/>
    <w:rsid w:val="008830A1"/>
    <w:rsid w:val="008833E6"/>
    <w:rsid w:val="00883B7D"/>
    <w:rsid w:val="0088441E"/>
    <w:rsid w:val="0088459B"/>
    <w:rsid w:val="0088484E"/>
    <w:rsid w:val="00884881"/>
    <w:rsid w:val="00886516"/>
    <w:rsid w:val="00886678"/>
    <w:rsid w:val="008876BF"/>
    <w:rsid w:val="00891B5F"/>
    <w:rsid w:val="00891D65"/>
    <w:rsid w:val="00892473"/>
    <w:rsid w:val="00895FFC"/>
    <w:rsid w:val="008A16F7"/>
    <w:rsid w:val="008A18AB"/>
    <w:rsid w:val="008A20B1"/>
    <w:rsid w:val="008A30D9"/>
    <w:rsid w:val="008A31D4"/>
    <w:rsid w:val="008A40BD"/>
    <w:rsid w:val="008A4210"/>
    <w:rsid w:val="008A61F1"/>
    <w:rsid w:val="008A6410"/>
    <w:rsid w:val="008A6FC8"/>
    <w:rsid w:val="008A713E"/>
    <w:rsid w:val="008A74ED"/>
    <w:rsid w:val="008B0260"/>
    <w:rsid w:val="008B02DB"/>
    <w:rsid w:val="008B0E19"/>
    <w:rsid w:val="008B1643"/>
    <w:rsid w:val="008B40AF"/>
    <w:rsid w:val="008B4DE4"/>
    <w:rsid w:val="008B5171"/>
    <w:rsid w:val="008B5F77"/>
    <w:rsid w:val="008B6AB0"/>
    <w:rsid w:val="008B73F4"/>
    <w:rsid w:val="008B755E"/>
    <w:rsid w:val="008B7F3F"/>
    <w:rsid w:val="008C08C0"/>
    <w:rsid w:val="008C1D51"/>
    <w:rsid w:val="008C3BC9"/>
    <w:rsid w:val="008C4409"/>
    <w:rsid w:val="008C4B79"/>
    <w:rsid w:val="008C5E3D"/>
    <w:rsid w:val="008C69A1"/>
    <w:rsid w:val="008C7501"/>
    <w:rsid w:val="008C758D"/>
    <w:rsid w:val="008D044C"/>
    <w:rsid w:val="008D161F"/>
    <w:rsid w:val="008D18A7"/>
    <w:rsid w:val="008D1F75"/>
    <w:rsid w:val="008D214C"/>
    <w:rsid w:val="008D275A"/>
    <w:rsid w:val="008D2F49"/>
    <w:rsid w:val="008D6DB5"/>
    <w:rsid w:val="008D7576"/>
    <w:rsid w:val="008E0753"/>
    <w:rsid w:val="008E0A9E"/>
    <w:rsid w:val="008E0C51"/>
    <w:rsid w:val="008E2C36"/>
    <w:rsid w:val="008E2D67"/>
    <w:rsid w:val="008E34D1"/>
    <w:rsid w:val="008E4174"/>
    <w:rsid w:val="008E5870"/>
    <w:rsid w:val="008E610B"/>
    <w:rsid w:val="008E628E"/>
    <w:rsid w:val="008E7062"/>
    <w:rsid w:val="008E7669"/>
    <w:rsid w:val="008E7753"/>
    <w:rsid w:val="008F0EF1"/>
    <w:rsid w:val="008F3CF3"/>
    <w:rsid w:val="008F4E06"/>
    <w:rsid w:val="008F5272"/>
    <w:rsid w:val="008F56F1"/>
    <w:rsid w:val="008F65EE"/>
    <w:rsid w:val="008F6A1B"/>
    <w:rsid w:val="009016D3"/>
    <w:rsid w:val="009027A2"/>
    <w:rsid w:val="00904307"/>
    <w:rsid w:val="00904A92"/>
    <w:rsid w:val="00904F2D"/>
    <w:rsid w:val="009065AC"/>
    <w:rsid w:val="00910C15"/>
    <w:rsid w:val="00913606"/>
    <w:rsid w:val="009136EF"/>
    <w:rsid w:val="0091424F"/>
    <w:rsid w:val="0091527A"/>
    <w:rsid w:val="00915AEE"/>
    <w:rsid w:val="00915B7C"/>
    <w:rsid w:val="009171B8"/>
    <w:rsid w:val="0091744F"/>
    <w:rsid w:val="00917EB5"/>
    <w:rsid w:val="00920D3D"/>
    <w:rsid w:val="00921C1C"/>
    <w:rsid w:val="00923171"/>
    <w:rsid w:val="00923F63"/>
    <w:rsid w:val="00924A82"/>
    <w:rsid w:val="00924F4A"/>
    <w:rsid w:val="00925F49"/>
    <w:rsid w:val="00927390"/>
    <w:rsid w:val="0093049F"/>
    <w:rsid w:val="009325CA"/>
    <w:rsid w:val="00932A97"/>
    <w:rsid w:val="00933ADE"/>
    <w:rsid w:val="00935A96"/>
    <w:rsid w:val="009361E3"/>
    <w:rsid w:val="00937195"/>
    <w:rsid w:val="00941673"/>
    <w:rsid w:val="00942344"/>
    <w:rsid w:val="009426AF"/>
    <w:rsid w:val="00942EE1"/>
    <w:rsid w:val="0094519B"/>
    <w:rsid w:val="00946155"/>
    <w:rsid w:val="0094646F"/>
    <w:rsid w:val="00946938"/>
    <w:rsid w:val="009503D2"/>
    <w:rsid w:val="00951686"/>
    <w:rsid w:val="00951C61"/>
    <w:rsid w:val="009536EC"/>
    <w:rsid w:val="009544E1"/>
    <w:rsid w:val="00957124"/>
    <w:rsid w:val="0096087C"/>
    <w:rsid w:val="00962953"/>
    <w:rsid w:val="00963794"/>
    <w:rsid w:val="00963BFE"/>
    <w:rsid w:val="00963EDD"/>
    <w:rsid w:val="00966504"/>
    <w:rsid w:val="009679D9"/>
    <w:rsid w:val="00970DA8"/>
    <w:rsid w:val="00970E00"/>
    <w:rsid w:val="00970E1B"/>
    <w:rsid w:val="00970E31"/>
    <w:rsid w:val="00970EB6"/>
    <w:rsid w:val="00971397"/>
    <w:rsid w:val="009735E4"/>
    <w:rsid w:val="009741D2"/>
    <w:rsid w:val="009745B4"/>
    <w:rsid w:val="00975168"/>
    <w:rsid w:val="009760C6"/>
    <w:rsid w:val="0097661D"/>
    <w:rsid w:val="00980999"/>
    <w:rsid w:val="00980A0D"/>
    <w:rsid w:val="0098299B"/>
    <w:rsid w:val="00983C32"/>
    <w:rsid w:val="0098473F"/>
    <w:rsid w:val="00986488"/>
    <w:rsid w:val="009906AE"/>
    <w:rsid w:val="00990D9F"/>
    <w:rsid w:val="0099177C"/>
    <w:rsid w:val="009931A1"/>
    <w:rsid w:val="009931F8"/>
    <w:rsid w:val="00997027"/>
    <w:rsid w:val="009A154C"/>
    <w:rsid w:val="009A3425"/>
    <w:rsid w:val="009A358F"/>
    <w:rsid w:val="009A3C2C"/>
    <w:rsid w:val="009A695B"/>
    <w:rsid w:val="009B0273"/>
    <w:rsid w:val="009B0B46"/>
    <w:rsid w:val="009B2D5F"/>
    <w:rsid w:val="009B3B67"/>
    <w:rsid w:val="009B3D18"/>
    <w:rsid w:val="009B5A99"/>
    <w:rsid w:val="009B7426"/>
    <w:rsid w:val="009B7891"/>
    <w:rsid w:val="009C0184"/>
    <w:rsid w:val="009C035F"/>
    <w:rsid w:val="009C097B"/>
    <w:rsid w:val="009C10E0"/>
    <w:rsid w:val="009C1D83"/>
    <w:rsid w:val="009C2A27"/>
    <w:rsid w:val="009C3AE5"/>
    <w:rsid w:val="009C4B86"/>
    <w:rsid w:val="009C555B"/>
    <w:rsid w:val="009C5746"/>
    <w:rsid w:val="009D0460"/>
    <w:rsid w:val="009D4B57"/>
    <w:rsid w:val="009D703D"/>
    <w:rsid w:val="009D7387"/>
    <w:rsid w:val="009E4A9B"/>
    <w:rsid w:val="009E52C9"/>
    <w:rsid w:val="009E672A"/>
    <w:rsid w:val="009E6841"/>
    <w:rsid w:val="009E749C"/>
    <w:rsid w:val="009F2143"/>
    <w:rsid w:val="009F23A5"/>
    <w:rsid w:val="009F2965"/>
    <w:rsid w:val="009F3829"/>
    <w:rsid w:val="009F42F7"/>
    <w:rsid w:val="009F6F2B"/>
    <w:rsid w:val="00A005CD"/>
    <w:rsid w:val="00A01C19"/>
    <w:rsid w:val="00A0686C"/>
    <w:rsid w:val="00A072F4"/>
    <w:rsid w:val="00A0738B"/>
    <w:rsid w:val="00A074D2"/>
    <w:rsid w:val="00A07BBC"/>
    <w:rsid w:val="00A10DA3"/>
    <w:rsid w:val="00A123D0"/>
    <w:rsid w:val="00A12FEA"/>
    <w:rsid w:val="00A138EB"/>
    <w:rsid w:val="00A1576F"/>
    <w:rsid w:val="00A21286"/>
    <w:rsid w:val="00A220DC"/>
    <w:rsid w:val="00A22BA9"/>
    <w:rsid w:val="00A25C7B"/>
    <w:rsid w:val="00A26176"/>
    <w:rsid w:val="00A3007A"/>
    <w:rsid w:val="00A32B1F"/>
    <w:rsid w:val="00A3344F"/>
    <w:rsid w:val="00A34F58"/>
    <w:rsid w:val="00A366C0"/>
    <w:rsid w:val="00A37F9B"/>
    <w:rsid w:val="00A413D5"/>
    <w:rsid w:val="00A42548"/>
    <w:rsid w:val="00A42D62"/>
    <w:rsid w:val="00A438EE"/>
    <w:rsid w:val="00A43DE0"/>
    <w:rsid w:val="00A44E2F"/>
    <w:rsid w:val="00A45197"/>
    <w:rsid w:val="00A45243"/>
    <w:rsid w:val="00A45863"/>
    <w:rsid w:val="00A472DA"/>
    <w:rsid w:val="00A50F11"/>
    <w:rsid w:val="00A52333"/>
    <w:rsid w:val="00A52EBA"/>
    <w:rsid w:val="00A5361C"/>
    <w:rsid w:val="00A54228"/>
    <w:rsid w:val="00A56749"/>
    <w:rsid w:val="00A57315"/>
    <w:rsid w:val="00A57F85"/>
    <w:rsid w:val="00A60219"/>
    <w:rsid w:val="00A62277"/>
    <w:rsid w:val="00A62CA8"/>
    <w:rsid w:val="00A62FC6"/>
    <w:rsid w:val="00A64055"/>
    <w:rsid w:val="00A6620C"/>
    <w:rsid w:val="00A668D2"/>
    <w:rsid w:val="00A6739A"/>
    <w:rsid w:val="00A67854"/>
    <w:rsid w:val="00A7224B"/>
    <w:rsid w:val="00A72615"/>
    <w:rsid w:val="00A73C87"/>
    <w:rsid w:val="00A744A6"/>
    <w:rsid w:val="00A747EB"/>
    <w:rsid w:val="00A75037"/>
    <w:rsid w:val="00A7572F"/>
    <w:rsid w:val="00A765A9"/>
    <w:rsid w:val="00A8201D"/>
    <w:rsid w:val="00A826CE"/>
    <w:rsid w:val="00A827F1"/>
    <w:rsid w:val="00A82B7A"/>
    <w:rsid w:val="00A84289"/>
    <w:rsid w:val="00A84A82"/>
    <w:rsid w:val="00A85B1B"/>
    <w:rsid w:val="00A87229"/>
    <w:rsid w:val="00A91794"/>
    <w:rsid w:val="00A91C4E"/>
    <w:rsid w:val="00A92675"/>
    <w:rsid w:val="00A92839"/>
    <w:rsid w:val="00A92FF3"/>
    <w:rsid w:val="00A96960"/>
    <w:rsid w:val="00A96B16"/>
    <w:rsid w:val="00A96D95"/>
    <w:rsid w:val="00A96DF7"/>
    <w:rsid w:val="00A97D65"/>
    <w:rsid w:val="00AA0D7D"/>
    <w:rsid w:val="00AA1398"/>
    <w:rsid w:val="00AA39C9"/>
    <w:rsid w:val="00AA605E"/>
    <w:rsid w:val="00AA67AB"/>
    <w:rsid w:val="00AA67C4"/>
    <w:rsid w:val="00AA6B10"/>
    <w:rsid w:val="00AA6C7B"/>
    <w:rsid w:val="00AB11A4"/>
    <w:rsid w:val="00AB4988"/>
    <w:rsid w:val="00AB50A9"/>
    <w:rsid w:val="00AB6FFF"/>
    <w:rsid w:val="00AB7345"/>
    <w:rsid w:val="00AC3198"/>
    <w:rsid w:val="00AC480E"/>
    <w:rsid w:val="00AC5E52"/>
    <w:rsid w:val="00AC6157"/>
    <w:rsid w:val="00AC6489"/>
    <w:rsid w:val="00AC6A5A"/>
    <w:rsid w:val="00AC6BC4"/>
    <w:rsid w:val="00AC6FCD"/>
    <w:rsid w:val="00AD0355"/>
    <w:rsid w:val="00AD1B12"/>
    <w:rsid w:val="00AD1BC3"/>
    <w:rsid w:val="00AD1D82"/>
    <w:rsid w:val="00AD446D"/>
    <w:rsid w:val="00AD60DF"/>
    <w:rsid w:val="00AD6410"/>
    <w:rsid w:val="00AD7E4E"/>
    <w:rsid w:val="00AE08BC"/>
    <w:rsid w:val="00AE14A3"/>
    <w:rsid w:val="00AE3B05"/>
    <w:rsid w:val="00AE54B7"/>
    <w:rsid w:val="00AF037C"/>
    <w:rsid w:val="00AF0DF3"/>
    <w:rsid w:val="00AF1C92"/>
    <w:rsid w:val="00AF2082"/>
    <w:rsid w:val="00AF2E2F"/>
    <w:rsid w:val="00AF4EDD"/>
    <w:rsid w:val="00AF57A9"/>
    <w:rsid w:val="00AF5BD9"/>
    <w:rsid w:val="00AF5C8B"/>
    <w:rsid w:val="00AF6E96"/>
    <w:rsid w:val="00AF736F"/>
    <w:rsid w:val="00B0032C"/>
    <w:rsid w:val="00B00866"/>
    <w:rsid w:val="00B00D84"/>
    <w:rsid w:val="00B0270C"/>
    <w:rsid w:val="00B03938"/>
    <w:rsid w:val="00B03F08"/>
    <w:rsid w:val="00B0410C"/>
    <w:rsid w:val="00B04CAA"/>
    <w:rsid w:val="00B04CD8"/>
    <w:rsid w:val="00B06228"/>
    <w:rsid w:val="00B06C82"/>
    <w:rsid w:val="00B06E82"/>
    <w:rsid w:val="00B12A1E"/>
    <w:rsid w:val="00B13F67"/>
    <w:rsid w:val="00B1409A"/>
    <w:rsid w:val="00B14637"/>
    <w:rsid w:val="00B148F2"/>
    <w:rsid w:val="00B14C11"/>
    <w:rsid w:val="00B14F61"/>
    <w:rsid w:val="00B16610"/>
    <w:rsid w:val="00B174E5"/>
    <w:rsid w:val="00B17DD0"/>
    <w:rsid w:val="00B2097B"/>
    <w:rsid w:val="00B20C11"/>
    <w:rsid w:val="00B212E3"/>
    <w:rsid w:val="00B24824"/>
    <w:rsid w:val="00B25410"/>
    <w:rsid w:val="00B25CB8"/>
    <w:rsid w:val="00B25FEF"/>
    <w:rsid w:val="00B26922"/>
    <w:rsid w:val="00B27BD2"/>
    <w:rsid w:val="00B27EEB"/>
    <w:rsid w:val="00B27FA3"/>
    <w:rsid w:val="00B32F6B"/>
    <w:rsid w:val="00B34FB1"/>
    <w:rsid w:val="00B356FE"/>
    <w:rsid w:val="00B36464"/>
    <w:rsid w:val="00B405F6"/>
    <w:rsid w:val="00B411C1"/>
    <w:rsid w:val="00B42C57"/>
    <w:rsid w:val="00B42F7C"/>
    <w:rsid w:val="00B43FC5"/>
    <w:rsid w:val="00B4625F"/>
    <w:rsid w:val="00B467B0"/>
    <w:rsid w:val="00B46F01"/>
    <w:rsid w:val="00B47035"/>
    <w:rsid w:val="00B47684"/>
    <w:rsid w:val="00B47E86"/>
    <w:rsid w:val="00B5008B"/>
    <w:rsid w:val="00B50585"/>
    <w:rsid w:val="00B5091C"/>
    <w:rsid w:val="00B50FEA"/>
    <w:rsid w:val="00B51252"/>
    <w:rsid w:val="00B51CDA"/>
    <w:rsid w:val="00B53521"/>
    <w:rsid w:val="00B54FB3"/>
    <w:rsid w:val="00B55F01"/>
    <w:rsid w:val="00B56FD3"/>
    <w:rsid w:val="00B603EC"/>
    <w:rsid w:val="00B620AB"/>
    <w:rsid w:val="00B62257"/>
    <w:rsid w:val="00B6289F"/>
    <w:rsid w:val="00B651C2"/>
    <w:rsid w:val="00B656BD"/>
    <w:rsid w:val="00B65805"/>
    <w:rsid w:val="00B66F8E"/>
    <w:rsid w:val="00B71A35"/>
    <w:rsid w:val="00B71D3D"/>
    <w:rsid w:val="00B723ED"/>
    <w:rsid w:val="00B736D1"/>
    <w:rsid w:val="00B75153"/>
    <w:rsid w:val="00B752A4"/>
    <w:rsid w:val="00B7720B"/>
    <w:rsid w:val="00B77AD2"/>
    <w:rsid w:val="00B80972"/>
    <w:rsid w:val="00B811AF"/>
    <w:rsid w:val="00B8257D"/>
    <w:rsid w:val="00B82D14"/>
    <w:rsid w:val="00B8421E"/>
    <w:rsid w:val="00B843CD"/>
    <w:rsid w:val="00B8509D"/>
    <w:rsid w:val="00B872A9"/>
    <w:rsid w:val="00B873A7"/>
    <w:rsid w:val="00B87579"/>
    <w:rsid w:val="00B87C8F"/>
    <w:rsid w:val="00B90836"/>
    <w:rsid w:val="00B90A10"/>
    <w:rsid w:val="00B91119"/>
    <w:rsid w:val="00B91159"/>
    <w:rsid w:val="00B9453D"/>
    <w:rsid w:val="00B9517A"/>
    <w:rsid w:val="00B951FC"/>
    <w:rsid w:val="00B95BC8"/>
    <w:rsid w:val="00B95FDB"/>
    <w:rsid w:val="00B96E43"/>
    <w:rsid w:val="00B97926"/>
    <w:rsid w:val="00BA01AD"/>
    <w:rsid w:val="00BA0F3D"/>
    <w:rsid w:val="00BA18F2"/>
    <w:rsid w:val="00BA2A68"/>
    <w:rsid w:val="00BA4922"/>
    <w:rsid w:val="00BA4D4D"/>
    <w:rsid w:val="00BA5226"/>
    <w:rsid w:val="00BA6059"/>
    <w:rsid w:val="00BA6162"/>
    <w:rsid w:val="00BA6228"/>
    <w:rsid w:val="00BA73FD"/>
    <w:rsid w:val="00BA7727"/>
    <w:rsid w:val="00BB0078"/>
    <w:rsid w:val="00BB01F8"/>
    <w:rsid w:val="00BB1FFE"/>
    <w:rsid w:val="00BB3BF6"/>
    <w:rsid w:val="00BB4B4F"/>
    <w:rsid w:val="00BB5958"/>
    <w:rsid w:val="00BB5B47"/>
    <w:rsid w:val="00BB6624"/>
    <w:rsid w:val="00BB6CE9"/>
    <w:rsid w:val="00BB777C"/>
    <w:rsid w:val="00BB79A8"/>
    <w:rsid w:val="00BB7A68"/>
    <w:rsid w:val="00BC10D6"/>
    <w:rsid w:val="00BC1F7D"/>
    <w:rsid w:val="00BC33AB"/>
    <w:rsid w:val="00BC41C0"/>
    <w:rsid w:val="00BC5C10"/>
    <w:rsid w:val="00BC64B3"/>
    <w:rsid w:val="00BC7B45"/>
    <w:rsid w:val="00BD0A30"/>
    <w:rsid w:val="00BD2144"/>
    <w:rsid w:val="00BD2745"/>
    <w:rsid w:val="00BD4FE3"/>
    <w:rsid w:val="00BD541B"/>
    <w:rsid w:val="00BD5D44"/>
    <w:rsid w:val="00BD6AB7"/>
    <w:rsid w:val="00BE039C"/>
    <w:rsid w:val="00BE1CD8"/>
    <w:rsid w:val="00BE26F6"/>
    <w:rsid w:val="00BE2E22"/>
    <w:rsid w:val="00BE47D3"/>
    <w:rsid w:val="00BE51FC"/>
    <w:rsid w:val="00BE5D32"/>
    <w:rsid w:val="00BF01D8"/>
    <w:rsid w:val="00BF0E64"/>
    <w:rsid w:val="00BF0E73"/>
    <w:rsid w:val="00BF189D"/>
    <w:rsid w:val="00BF36CE"/>
    <w:rsid w:val="00BF44AE"/>
    <w:rsid w:val="00BF4C76"/>
    <w:rsid w:val="00BF57B4"/>
    <w:rsid w:val="00BF6A1C"/>
    <w:rsid w:val="00C008E9"/>
    <w:rsid w:val="00C00F93"/>
    <w:rsid w:val="00C0104A"/>
    <w:rsid w:val="00C02C4E"/>
    <w:rsid w:val="00C03CB7"/>
    <w:rsid w:val="00C04228"/>
    <w:rsid w:val="00C0465C"/>
    <w:rsid w:val="00C052B5"/>
    <w:rsid w:val="00C11427"/>
    <w:rsid w:val="00C118EB"/>
    <w:rsid w:val="00C11F07"/>
    <w:rsid w:val="00C13431"/>
    <w:rsid w:val="00C13BED"/>
    <w:rsid w:val="00C14041"/>
    <w:rsid w:val="00C15444"/>
    <w:rsid w:val="00C154CD"/>
    <w:rsid w:val="00C155AF"/>
    <w:rsid w:val="00C15A7F"/>
    <w:rsid w:val="00C15C67"/>
    <w:rsid w:val="00C174AA"/>
    <w:rsid w:val="00C17726"/>
    <w:rsid w:val="00C20CB0"/>
    <w:rsid w:val="00C222A6"/>
    <w:rsid w:val="00C22563"/>
    <w:rsid w:val="00C22EE6"/>
    <w:rsid w:val="00C23CA6"/>
    <w:rsid w:val="00C249B5"/>
    <w:rsid w:val="00C25DEA"/>
    <w:rsid w:val="00C316DA"/>
    <w:rsid w:val="00C33AF8"/>
    <w:rsid w:val="00C347B9"/>
    <w:rsid w:val="00C35145"/>
    <w:rsid w:val="00C36D72"/>
    <w:rsid w:val="00C37F5C"/>
    <w:rsid w:val="00C4154D"/>
    <w:rsid w:val="00C418E6"/>
    <w:rsid w:val="00C42407"/>
    <w:rsid w:val="00C432C8"/>
    <w:rsid w:val="00C4389E"/>
    <w:rsid w:val="00C44C79"/>
    <w:rsid w:val="00C524EF"/>
    <w:rsid w:val="00C5298C"/>
    <w:rsid w:val="00C5345D"/>
    <w:rsid w:val="00C5356A"/>
    <w:rsid w:val="00C547AB"/>
    <w:rsid w:val="00C57DA9"/>
    <w:rsid w:val="00C60514"/>
    <w:rsid w:val="00C62B13"/>
    <w:rsid w:val="00C63D32"/>
    <w:rsid w:val="00C63F5A"/>
    <w:rsid w:val="00C64699"/>
    <w:rsid w:val="00C65461"/>
    <w:rsid w:val="00C6606D"/>
    <w:rsid w:val="00C6655B"/>
    <w:rsid w:val="00C67456"/>
    <w:rsid w:val="00C67B73"/>
    <w:rsid w:val="00C67C56"/>
    <w:rsid w:val="00C70103"/>
    <w:rsid w:val="00C72E3F"/>
    <w:rsid w:val="00C73577"/>
    <w:rsid w:val="00C73BB1"/>
    <w:rsid w:val="00C73CAD"/>
    <w:rsid w:val="00C742A2"/>
    <w:rsid w:val="00C74CD6"/>
    <w:rsid w:val="00C75517"/>
    <w:rsid w:val="00C80F9E"/>
    <w:rsid w:val="00C82055"/>
    <w:rsid w:val="00C82561"/>
    <w:rsid w:val="00C83574"/>
    <w:rsid w:val="00C86A99"/>
    <w:rsid w:val="00C86D1F"/>
    <w:rsid w:val="00C87028"/>
    <w:rsid w:val="00C90468"/>
    <w:rsid w:val="00C90520"/>
    <w:rsid w:val="00C90B81"/>
    <w:rsid w:val="00C9112B"/>
    <w:rsid w:val="00C932CC"/>
    <w:rsid w:val="00C935FE"/>
    <w:rsid w:val="00C93957"/>
    <w:rsid w:val="00C9421D"/>
    <w:rsid w:val="00C9502E"/>
    <w:rsid w:val="00C97F37"/>
    <w:rsid w:val="00CA003A"/>
    <w:rsid w:val="00CA073A"/>
    <w:rsid w:val="00CA3957"/>
    <w:rsid w:val="00CA514B"/>
    <w:rsid w:val="00CA6162"/>
    <w:rsid w:val="00CA62F8"/>
    <w:rsid w:val="00CA65F6"/>
    <w:rsid w:val="00CA6689"/>
    <w:rsid w:val="00CA794D"/>
    <w:rsid w:val="00CA7E9A"/>
    <w:rsid w:val="00CB02E7"/>
    <w:rsid w:val="00CB03C8"/>
    <w:rsid w:val="00CB0F1E"/>
    <w:rsid w:val="00CB5A27"/>
    <w:rsid w:val="00CB77DA"/>
    <w:rsid w:val="00CC07D7"/>
    <w:rsid w:val="00CC0DE3"/>
    <w:rsid w:val="00CC403F"/>
    <w:rsid w:val="00CC4812"/>
    <w:rsid w:val="00CC7AAF"/>
    <w:rsid w:val="00CC7E24"/>
    <w:rsid w:val="00CD1B55"/>
    <w:rsid w:val="00CD3160"/>
    <w:rsid w:val="00CD3A56"/>
    <w:rsid w:val="00CD4E42"/>
    <w:rsid w:val="00CD71DE"/>
    <w:rsid w:val="00CD73F9"/>
    <w:rsid w:val="00CE1490"/>
    <w:rsid w:val="00CE2077"/>
    <w:rsid w:val="00CE3E87"/>
    <w:rsid w:val="00CE4953"/>
    <w:rsid w:val="00CE6410"/>
    <w:rsid w:val="00CE7CAF"/>
    <w:rsid w:val="00CF276C"/>
    <w:rsid w:val="00CF2A9D"/>
    <w:rsid w:val="00CF3A1D"/>
    <w:rsid w:val="00CF3F3D"/>
    <w:rsid w:val="00CF488C"/>
    <w:rsid w:val="00CF5D78"/>
    <w:rsid w:val="00CF60AF"/>
    <w:rsid w:val="00CF7C10"/>
    <w:rsid w:val="00D00530"/>
    <w:rsid w:val="00D007B5"/>
    <w:rsid w:val="00D00E21"/>
    <w:rsid w:val="00D0137D"/>
    <w:rsid w:val="00D03C4B"/>
    <w:rsid w:val="00D04744"/>
    <w:rsid w:val="00D0717D"/>
    <w:rsid w:val="00D1074F"/>
    <w:rsid w:val="00D10F3C"/>
    <w:rsid w:val="00D11A73"/>
    <w:rsid w:val="00D1280E"/>
    <w:rsid w:val="00D129A8"/>
    <w:rsid w:val="00D12A9C"/>
    <w:rsid w:val="00D143E7"/>
    <w:rsid w:val="00D14783"/>
    <w:rsid w:val="00D14B34"/>
    <w:rsid w:val="00D15781"/>
    <w:rsid w:val="00D17611"/>
    <w:rsid w:val="00D214BE"/>
    <w:rsid w:val="00D229A3"/>
    <w:rsid w:val="00D23AD7"/>
    <w:rsid w:val="00D260D7"/>
    <w:rsid w:val="00D27198"/>
    <w:rsid w:val="00D31DEC"/>
    <w:rsid w:val="00D32757"/>
    <w:rsid w:val="00D328E2"/>
    <w:rsid w:val="00D33F33"/>
    <w:rsid w:val="00D3485C"/>
    <w:rsid w:val="00D353F5"/>
    <w:rsid w:val="00D35D48"/>
    <w:rsid w:val="00D42A69"/>
    <w:rsid w:val="00D42D9D"/>
    <w:rsid w:val="00D43531"/>
    <w:rsid w:val="00D4368B"/>
    <w:rsid w:val="00D437BE"/>
    <w:rsid w:val="00D44007"/>
    <w:rsid w:val="00D457C6"/>
    <w:rsid w:val="00D46683"/>
    <w:rsid w:val="00D50E1B"/>
    <w:rsid w:val="00D51893"/>
    <w:rsid w:val="00D5225F"/>
    <w:rsid w:val="00D529DC"/>
    <w:rsid w:val="00D52DF7"/>
    <w:rsid w:val="00D54218"/>
    <w:rsid w:val="00D548E8"/>
    <w:rsid w:val="00D553A3"/>
    <w:rsid w:val="00D573EC"/>
    <w:rsid w:val="00D57D2E"/>
    <w:rsid w:val="00D6038C"/>
    <w:rsid w:val="00D6146A"/>
    <w:rsid w:val="00D62857"/>
    <w:rsid w:val="00D6334A"/>
    <w:rsid w:val="00D64D19"/>
    <w:rsid w:val="00D64D4F"/>
    <w:rsid w:val="00D64DE3"/>
    <w:rsid w:val="00D66056"/>
    <w:rsid w:val="00D66AED"/>
    <w:rsid w:val="00D67930"/>
    <w:rsid w:val="00D67EEF"/>
    <w:rsid w:val="00D7250E"/>
    <w:rsid w:val="00D733C4"/>
    <w:rsid w:val="00D74F0A"/>
    <w:rsid w:val="00D77BCF"/>
    <w:rsid w:val="00D77C2E"/>
    <w:rsid w:val="00D808EA"/>
    <w:rsid w:val="00D80EB7"/>
    <w:rsid w:val="00D81124"/>
    <w:rsid w:val="00D812B3"/>
    <w:rsid w:val="00D82F78"/>
    <w:rsid w:val="00D84980"/>
    <w:rsid w:val="00D8574C"/>
    <w:rsid w:val="00D87B81"/>
    <w:rsid w:val="00D9048F"/>
    <w:rsid w:val="00D91081"/>
    <w:rsid w:val="00D91325"/>
    <w:rsid w:val="00D9212B"/>
    <w:rsid w:val="00D92CAD"/>
    <w:rsid w:val="00DA04D7"/>
    <w:rsid w:val="00DA0548"/>
    <w:rsid w:val="00DA0E2F"/>
    <w:rsid w:val="00DA2D2D"/>
    <w:rsid w:val="00DA33F0"/>
    <w:rsid w:val="00DA7544"/>
    <w:rsid w:val="00DA7FC9"/>
    <w:rsid w:val="00DB1382"/>
    <w:rsid w:val="00DB143C"/>
    <w:rsid w:val="00DB2BB6"/>
    <w:rsid w:val="00DB7863"/>
    <w:rsid w:val="00DB7BEE"/>
    <w:rsid w:val="00DC258C"/>
    <w:rsid w:val="00DC2A2E"/>
    <w:rsid w:val="00DC6789"/>
    <w:rsid w:val="00DD0E7C"/>
    <w:rsid w:val="00DD221C"/>
    <w:rsid w:val="00DD2B3B"/>
    <w:rsid w:val="00DD39FC"/>
    <w:rsid w:val="00DD498E"/>
    <w:rsid w:val="00DD5C71"/>
    <w:rsid w:val="00DD6467"/>
    <w:rsid w:val="00DD6634"/>
    <w:rsid w:val="00DD7104"/>
    <w:rsid w:val="00DD77A9"/>
    <w:rsid w:val="00DE0031"/>
    <w:rsid w:val="00DE29EE"/>
    <w:rsid w:val="00DE501D"/>
    <w:rsid w:val="00DF0689"/>
    <w:rsid w:val="00DF0967"/>
    <w:rsid w:val="00DF0CB0"/>
    <w:rsid w:val="00DF1287"/>
    <w:rsid w:val="00DF1F3F"/>
    <w:rsid w:val="00DF48D7"/>
    <w:rsid w:val="00DF4950"/>
    <w:rsid w:val="00E0209C"/>
    <w:rsid w:val="00E028E7"/>
    <w:rsid w:val="00E02C97"/>
    <w:rsid w:val="00E04952"/>
    <w:rsid w:val="00E106F1"/>
    <w:rsid w:val="00E111EF"/>
    <w:rsid w:val="00E1164A"/>
    <w:rsid w:val="00E118B7"/>
    <w:rsid w:val="00E13C4C"/>
    <w:rsid w:val="00E14080"/>
    <w:rsid w:val="00E14EF1"/>
    <w:rsid w:val="00E15166"/>
    <w:rsid w:val="00E1617F"/>
    <w:rsid w:val="00E162C5"/>
    <w:rsid w:val="00E2048E"/>
    <w:rsid w:val="00E2108F"/>
    <w:rsid w:val="00E25830"/>
    <w:rsid w:val="00E25A21"/>
    <w:rsid w:val="00E26168"/>
    <w:rsid w:val="00E26B6D"/>
    <w:rsid w:val="00E27433"/>
    <w:rsid w:val="00E30F2F"/>
    <w:rsid w:val="00E323B1"/>
    <w:rsid w:val="00E329A3"/>
    <w:rsid w:val="00E3349E"/>
    <w:rsid w:val="00E33CA6"/>
    <w:rsid w:val="00E35F29"/>
    <w:rsid w:val="00E37614"/>
    <w:rsid w:val="00E414CF"/>
    <w:rsid w:val="00E42525"/>
    <w:rsid w:val="00E4316E"/>
    <w:rsid w:val="00E44227"/>
    <w:rsid w:val="00E45F56"/>
    <w:rsid w:val="00E51BE0"/>
    <w:rsid w:val="00E520D2"/>
    <w:rsid w:val="00E53466"/>
    <w:rsid w:val="00E53E27"/>
    <w:rsid w:val="00E54E14"/>
    <w:rsid w:val="00E56120"/>
    <w:rsid w:val="00E56613"/>
    <w:rsid w:val="00E56CF7"/>
    <w:rsid w:val="00E56EC7"/>
    <w:rsid w:val="00E574F7"/>
    <w:rsid w:val="00E57D90"/>
    <w:rsid w:val="00E602DD"/>
    <w:rsid w:val="00E63F99"/>
    <w:rsid w:val="00E64ACA"/>
    <w:rsid w:val="00E64EE6"/>
    <w:rsid w:val="00E656C8"/>
    <w:rsid w:val="00E6581E"/>
    <w:rsid w:val="00E65AFB"/>
    <w:rsid w:val="00E663A5"/>
    <w:rsid w:val="00E66A9A"/>
    <w:rsid w:val="00E6774E"/>
    <w:rsid w:val="00E71200"/>
    <w:rsid w:val="00E73E7C"/>
    <w:rsid w:val="00E74D11"/>
    <w:rsid w:val="00E76A4B"/>
    <w:rsid w:val="00E76C79"/>
    <w:rsid w:val="00E80AB9"/>
    <w:rsid w:val="00E80F9C"/>
    <w:rsid w:val="00E81073"/>
    <w:rsid w:val="00E812BE"/>
    <w:rsid w:val="00E8163A"/>
    <w:rsid w:val="00E81A19"/>
    <w:rsid w:val="00E831C9"/>
    <w:rsid w:val="00E8417B"/>
    <w:rsid w:val="00E847A5"/>
    <w:rsid w:val="00E904CC"/>
    <w:rsid w:val="00E909E2"/>
    <w:rsid w:val="00E9155E"/>
    <w:rsid w:val="00E927FF"/>
    <w:rsid w:val="00E942FB"/>
    <w:rsid w:val="00E952C4"/>
    <w:rsid w:val="00E95E42"/>
    <w:rsid w:val="00E969D2"/>
    <w:rsid w:val="00EA152F"/>
    <w:rsid w:val="00EA27A2"/>
    <w:rsid w:val="00EA2A25"/>
    <w:rsid w:val="00EA6BFB"/>
    <w:rsid w:val="00EA7C3C"/>
    <w:rsid w:val="00EB05BF"/>
    <w:rsid w:val="00EB0654"/>
    <w:rsid w:val="00EB08EF"/>
    <w:rsid w:val="00EB0E03"/>
    <w:rsid w:val="00EB1142"/>
    <w:rsid w:val="00EB37AF"/>
    <w:rsid w:val="00EC0928"/>
    <w:rsid w:val="00EC47BC"/>
    <w:rsid w:val="00EC48C0"/>
    <w:rsid w:val="00EC4DE4"/>
    <w:rsid w:val="00EC52BC"/>
    <w:rsid w:val="00EC5680"/>
    <w:rsid w:val="00EC5DCB"/>
    <w:rsid w:val="00ED0D41"/>
    <w:rsid w:val="00ED24DF"/>
    <w:rsid w:val="00ED2688"/>
    <w:rsid w:val="00ED31D4"/>
    <w:rsid w:val="00ED32A8"/>
    <w:rsid w:val="00ED3B6F"/>
    <w:rsid w:val="00ED3F6E"/>
    <w:rsid w:val="00ED516A"/>
    <w:rsid w:val="00ED76A2"/>
    <w:rsid w:val="00EE0834"/>
    <w:rsid w:val="00EE0F85"/>
    <w:rsid w:val="00EE155A"/>
    <w:rsid w:val="00EE32BE"/>
    <w:rsid w:val="00EE37D0"/>
    <w:rsid w:val="00EE4B23"/>
    <w:rsid w:val="00EE5117"/>
    <w:rsid w:val="00EF1F32"/>
    <w:rsid w:val="00EF36F6"/>
    <w:rsid w:val="00EF382A"/>
    <w:rsid w:val="00EF509D"/>
    <w:rsid w:val="00EF647D"/>
    <w:rsid w:val="00EF75A2"/>
    <w:rsid w:val="00F017DB"/>
    <w:rsid w:val="00F01B67"/>
    <w:rsid w:val="00F029A1"/>
    <w:rsid w:val="00F0413C"/>
    <w:rsid w:val="00F04C4B"/>
    <w:rsid w:val="00F07419"/>
    <w:rsid w:val="00F109E0"/>
    <w:rsid w:val="00F13BFD"/>
    <w:rsid w:val="00F14C63"/>
    <w:rsid w:val="00F14C6C"/>
    <w:rsid w:val="00F15468"/>
    <w:rsid w:val="00F166A2"/>
    <w:rsid w:val="00F1778A"/>
    <w:rsid w:val="00F17D29"/>
    <w:rsid w:val="00F22BE0"/>
    <w:rsid w:val="00F267B2"/>
    <w:rsid w:val="00F26DE5"/>
    <w:rsid w:val="00F26F1E"/>
    <w:rsid w:val="00F2737F"/>
    <w:rsid w:val="00F31F36"/>
    <w:rsid w:val="00F336D1"/>
    <w:rsid w:val="00F34B67"/>
    <w:rsid w:val="00F35AC0"/>
    <w:rsid w:val="00F35D50"/>
    <w:rsid w:val="00F3674B"/>
    <w:rsid w:val="00F36E06"/>
    <w:rsid w:val="00F4071E"/>
    <w:rsid w:val="00F407E8"/>
    <w:rsid w:val="00F42000"/>
    <w:rsid w:val="00F438B8"/>
    <w:rsid w:val="00F43B9A"/>
    <w:rsid w:val="00F4488C"/>
    <w:rsid w:val="00F44EED"/>
    <w:rsid w:val="00F453BA"/>
    <w:rsid w:val="00F46051"/>
    <w:rsid w:val="00F46368"/>
    <w:rsid w:val="00F4673F"/>
    <w:rsid w:val="00F46950"/>
    <w:rsid w:val="00F47C46"/>
    <w:rsid w:val="00F501FA"/>
    <w:rsid w:val="00F53E41"/>
    <w:rsid w:val="00F55EC7"/>
    <w:rsid w:val="00F56042"/>
    <w:rsid w:val="00F5651E"/>
    <w:rsid w:val="00F56C97"/>
    <w:rsid w:val="00F56CD8"/>
    <w:rsid w:val="00F57C91"/>
    <w:rsid w:val="00F61E25"/>
    <w:rsid w:val="00F62069"/>
    <w:rsid w:val="00F65197"/>
    <w:rsid w:val="00F66073"/>
    <w:rsid w:val="00F7066F"/>
    <w:rsid w:val="00F70A17"/>
    <w:rsid w:val="00F718DF"/>
    <w:rsid w:val="00F74E3E"/>
    <w:rsid w:val="00F75D10"/>
    <w:rsid w:val="00F76861"/>
    <w:rsid w:val="00F76B64"/>
    <w:rsid w:val="00F7775C"/>
    <w:rsid w:val="00F80EB6"/>
    <w:rsid w:val="00F81765"/>
    <w:rsid w:val="00F82377"/>
    <w:rsid w:val="00F845F9"/>
    <w:rsid w:val="00F865E0"/>
    <w:rsid w:val="00F90E3B"/>
    <w:rsid w:val="00F9318F"/>
    <w:rsid w:val="00F932B8"/>
    <w:rsid w:val="00F94ED9"/>
    <w:rsid w:val="00F94F52"/>
    <w:rsid w:val="00F95468"/>
    <w:rsid w:val="00F957BC"/>
    <w:rsid w:val="00F975BA"/>
    <w:rsid w:val="00FA0671"/>
    <w:rsid w:val="00FA20A9"/>
    <w:rsid w:val="00FA4119"/>
    <w:rsid w:val="00FB276E"/>
    <w:rsid w:val="00FB302F"/>
    <w:rsid w:val="00FB5E4B"/>
    <w:rsid w:val="00FC1447"/>
    <w:rsid w:val="00FC2455"/>
    <w:rsid w:val="00FC2B33"/>
    <w:rsid w:val="00FC4D48"/>
    <w:rsid w:val="00FC5B47"/>
    <w:rsid w:val="00FC75CC"/>
    <w:rsid w:val="00FC767C"/>
    <w:rsid w:val="00FD1C3B"/>
    <w:rsid w:val="00FD2334"/>
    <w:rsid w:val="00FD235F"/>
    <w:rsid w:val="00FD2ED6"/>
    <w:rsid w:val="00FD2F68"/>
    <w:rsid w:val="00FD3650"/>
    <w:rsid w:val="00FD5A41"/>
    <w:rsid w:val="00FD61BA"/>
    <w:rsid w:val="00FD6319"/>
    <w:rsid w:val="00FD747D"/>
    <w:rsid w:val="00FE10BC"/>
    <w:rsid w:val="00FE173A"/>
    <w:rsid w:val="00FE2A9B"/>
    <w:rsid w:val="00FE704C"/>
    <w:rsid w:val="00FE7E96"/>
    <w:rsid w:val="00FF469A"/>
    <w:rsid w:val="00FF4DE8"/>
    <w:rsid w:val="00FF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62B5C"/>
  <w15:docId w15:val="{7161363C-62EC-48AF-8014-F1C1CB2B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B7B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07214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b/>
      <w:sz w:val="26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5A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5A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3662"/>
  </w:style>
  <w:style w:type="paragraph" w:styleId="Piedepgina">
    <w:name w:val="footer"/>
    <w:basedOn w:val="Normal"/>
    <w:link w:val="PiedepginaCar"/>
    <w:uiPriority w:val="99"/>
    <w:unhideWhenUsed/>
    <w:rsid w:val="0033366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3662"/>
  </w:style>
  <w:style w:type="paragraph" w:customStyle="1" w:styleId="NoParagraphStyle">
    <w:name w:val="[No Paragraph Style]"/>
    <w:rsid w:val="0033366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333662"/>
  </w:style>
  <w:style w:type="character" w:styleId="Hipervnculo">
    <w:name w:val="Hyperlink"/>
    <w:basedOn w:val="Fuentedeprrafopredeter"/>
    <w:uiPriority w:val="99"/>
    <w:unhideWhenUsed/>
    <w:rsid w:val="00C935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924FE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46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6A5"/>
    <w:rPr>
      <w:rFonts w:ascii="Segoe UI" w:eastAsia="MS Mincho" w:hAnsi="Segoe UI" w:cs="Segoe UI"/>
      <w:noProof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072142"/>
    <w:rPr>
      <w:rFonts w:asciiTheme="majorHAnsi" w:eastAsiaTheme="majorEastAsia" w:hAnsiTheme="majorHAnsi" w:cstheme="majorBidi"/>
      <w:b/>
      <w:sz w:val="26"/>
      <w:szCs w:val="32"/>
    </w:rPr>
  </w:style>
  <w:style w:type="paragraph" w:customStyle="1" w:styleId="Standard">
    <w:name w:val="Standard"/>
    <w:rsid w:val="0007214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s-DO" w:eastAsia="zh-CN" w:bidi="hi-IN"/>
    </w:rPr>
  </w:style>
  <w:style w:type="paragraph" w:styleId="Prrafodelista">
    <w:name w:val="List Paragraph"/>
    <w:basedOn w:val="Normal"/>
    <w:uiPriority w:val="34"/>
    <w:qFormat/>
    <w:rsid w:val="000721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US"/>
    </w:rPr>
  </w:style>
  <w:style w:type="character" w:styleId="Refdecomentario">
    <w:name w:val="annotation reference"/>
    <w:basedOn w:val="Fuentedeprrafopredeter"/>
    <w:uiPriority w:val="99"/>
    <w:semiHidden/>
    <w:unhideWhenUsed/>
    <w:rsid w:val="00E658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581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581E"/>
    <w:rPr>
      <w:rFonts w:ascii="Cambria" w:eastAsia="MS Mincho" w:hAnsi="Cambria" w:cs="Times New Roman"/>
      <w:noProof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8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81E"/>
    <w:rPr>
      <w:rFonts w:ascii="Cambria" w:eastAsia="MS Mincho" w:hAnsi="Cambria" w:cs="Times New Roman"/>
      <w:b/>
      <w:bCs/>
      <w:noProof/>
      <w:sz w:val="20"/>
      <w:szCs w:val="20"/>
      <w:lang w:val="es-ES_tradnl"/>
    </w:rPr>
  </w:style>
  <w:style w:type="paragraph" w:styleId="Sinespaciado">
    <w:name w:val="No Spacing"/>
    <w:uiPriority w:val="1"/>
    <w:qFormat/>
    <w:rsid w:val="00FC767C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1F6EA7"/>
    <w:rPr>
      <w:rFonts w:ascii="Arial Narrow" w:eastAsiaTheme="minorHAnsi" w:hAnsi="Arial Narrow" w:cs="Calibri"/>
      <w:color w:val="000000"/>
      <w:lang w:val="es-D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F6EA7"/>
    <w:rPr>
      <w:rFonts w:ascii="Arial Narrow" w:hAnsi="Arial Narrow" w:cs="Calibri"/>
      <w:color w:val="000000"/>
      <w:sz w:val="24"/>
      <w:szCs w:val="24"/>
      <w:lang w:val="es-DO"/>
    </w:rPr>
  </w:style>
  <w:style w:type="paragraph" w:customStyle="1" w:styleId="Default">
    <w:name w:val="Default"/>
    <w:rsid w:val="00AF0D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5A77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5A77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285A77"/>
    <w:pPr>
      <w:outlineLvl w:val="9"/>
    </w:pPr>
    <w:rPr>
      <w:b w:val="0"/>
      <w:color w:val="2E74B5" w:themeColor="accent1" w:themeShade="BF"/>
      <w:sz w:val="32"/>
      <w:lang w:val="es-DO"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8E2D67"/>
    <w:pPr>
      <w:tabs>
        <w:tab w:val="left" w:pos="480"/>
        <w:tab w:val="right" w:leader="dot" w:pos="8779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285A77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285A77"/>
    <w:pPr>
      <w:spacing w:after="100"/>
      <w:ind w:left="48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47FBD"/>
    <w:rPr>
      <w:rFonts w:ascii="Calibri" w:hAnsi="Calibri"/>
      <w:sz w:val="20"/>
      <w:szCs w:val="20"/>
      <w:lang w:val="es-D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7FBD"/>
    <w:rPr>
      <w:rFonts w:ascii="Calibri" w:eastAsia="MS Mincho" w:hAnsi="Calibri" w:cs="Times New Roman"/>
      <w:sz w:val="20"/>
      <w:szCs w:val="20"/>
      <w:lang w:val="es-DO"/>
    </w:rPr>
  </w:style>
  <w:style w:type="character" w:styleId="Refdenotaalpie">
    <w:name w:val="footnote reference"/>
    <w:basedOn w:val="Fuentedeprrafopredeter"/>
    <w:uiPriority w:val="99"/>
    <w:semiHidden/>
    <w:unhideWhenUsed/>
    <w:rsid w:val="00647FBD"/>
    <w:rPr>
      <w:vertAlign w:val="superscript"/>
    </w:rPr>
  </w:style>
  <w:style w:type="paragraph" w:styleId="Revisin">
    <w:name w:val="Revision"/>
    <w:hidden/>
    <w:uiPriority w:val="99"/>
    <w:semiHidden/>
    <w:rsid w:val="00EF36F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422E2-F7FF-4CDD-85AB-25797D93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4009</Words>
  <Characters>22052</Characters>
  <Application>Microsoft Office Word</Application>
  <DocSecurity>0</DocSecurity>
  <Lines>183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#1</vt:lpstr>
      <vt:lpstr>ANEXO #1</vt:lpstr>
    </vt:vector>
  </TitlesOfParts>
  <Company/>
  <LinksUpToDate>false</LinksUpToDate>
  <CharactersWithSpaces>26009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#1</dc:title>
  <dc:creator>Ivanna Cabral</dc:creator>
  <cp:lastModifiedBy>Roberto Jose Quezada Thormann</cp:lastModifiedBy>
  <cp:revision>14</cp:revision>
  <cp:lastPrinted>2023-06-05T17:01:00Z</cp:lastPrinted>
  <dcterms:created xsi:type="dcterms:W3CDTF">2023-05-31T12:40:00Z</dcterms:created>
  <dcterms:modified xsi:type="dcterms:W3CDTF">2023-06-05T17:02:00Z</dcterms:modified>
</cp:coreProperties>
</file>